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B893B7F" w14:textId="50B31B17" w:rsidR="001A3970" w:rsidRPr="006D180E" w:rsidRDefault="00250FE7" w:rsidP="00AE29E1">
      <w:pPr>
        <w:spacing w:line="276" w:lineRule="auto"/>
        <w:jc w:val="center"/>
        <w:rPr>
          <w:rFonts w:ascii="Arial" w:hAnsi="Arial"/>
          <w:b/>
          <w:szCs w:val="22"/>
        </w:rPr>
      </w:pPr>
      <w:r w:rsidRPr="006D180E">
        <w:rPr>
          <w:rFonts w:ascii="Arial" w:hAnsi="Arial"/>
          <w:b/>
          <w:szCs w:val="22"/>
        </w:rPr>
        <w:t xml:space="preserve">                                                                                                                                                                                                                                                                                                                                                                     </w:t>
      </w:r>
    </w:p>
    <w:p w14:paraId="5ABC6D5F" w14:textId="12E89BC1" w:rsidR="00967D90" w:rsidRPr="006D180E" w:rsidRDefault="00967D90" w:rsidP="00AE29E1">
      <w:pPr>
        <w:spacing w:line="276" w:lineRule="auto"/>
        <w:jc w:val="center"/>
        <w:rPr>
          <w:rFonts w:ascii="Arial" w:hAnsi="Arial"/>
          <w:b/>
          <w:szCs w:val="22"/>
        </w:rPr>
      </w:pPr>
      <w:r w:rsidRPr="006D180E">
        <w:rPr>
          <w:rFonts w:ascii="Arial" w:hAnsi="Arial"/>
          <w:b/>
          <w:szCs w:val="22"/>
        </w:rPr>
        <w:t xml:space="preserve">ZARZĄDZENIE NR </w:t>
      </w:r>
      <w:r w:rsidR="00B40500">
        <w:rPr>
          <w:rFonts w:ascii="Arial" w:hAnsi="Arial"/>
          <w:b/>
          <w:szCs w:val="22"/>
        </w:rPr>
        <w:t>1</w:t>
      </w:r>
      <w:r w:rsidR="001C04E7">
        <w:rPr>
          <w:rFonts w:ascii="Arial" w:hAnsi="Arial"/>
          <w:b/>
          <w:szCs w:val="22"/>
        </w:rPr>
        <w:t>79/2021</w:t>
      </w:r>
    </w:p>
    <w:p w14:paraId="09BCC7A2" w14:textId="00ABF723" w:rsidR="00967D90" w:rsidRPr="006D180E" w:rsidRDefault="001C04E7" w:rsidP="00AE29E1">
      <w:pPr>
        <w:spacing w:line="276" w:lineRule="auto"/>
        <w:jc w:val="center"/>
        <w:rPr>
          <w:rFonts w:ascii="Arial" w:hAnsi="Arial"/>
          <w:b/>
          <w:szCs w:val="22"/>
        </w:rPr>
      </w:pPr>
      <w:r>
        <w:rPr>
          <w:rFonts w:ascii="Arial" w:hAnsi="Arial"/>
          <w:b/>
          <w:szCs w:val="22"/>
        </w:rPr>
        <w:t xml:space="preserve"> </w:t>
      </w:r>
      <w:r w:rsidR="00E453E9" w:rsidRPr="006D180E">
        <w:rPr>
          <w:rFonts w:ascii="Arial" w:hAnsi="Arial"/>
          <w:b/>
          <w:szCs w:val="22"/>
        </w:rPr>
        <w:t>WÓJTA</w:t>
      </w:r>
      <w:r w:rsidR="007F19B5" w:rsidRPr="006D180E">
        <w:rPr>
          <w:rFonts w:ascii="Arial" w:hAnsi="Arial"/>
          <w:b/>
          <w:szCs w:val="22"/>
        </w:rPr>
        <w:t xml:space="preserve"> </w:t>
      </w:r>
      <w:r w:rsidR="00A56332" w:rsidRPr="006D180E">
        <w:rPr>
          <w:rFonts w:ascii="Arial" w:hAnsi="Arial"/>
          <w:b/>
          <w:szCs w:val="22"/>
        </w:rPr>
        <w:t>GMINY</w:t>
      </w:r>
      <w:r w:rsidR="0055575A" w:rsidRPr="006D180E">
        <w:rPr>
          <w:rFonts w:ascii="Arial" w:hAnsi="Arial"/>
          <w:b/>
          <w:szCs w:val="22"/>
        </w:rPr>
        <w:t xml:space="preserve"> </w:t>
      </w:r>
      <w:r w:rsidR="006D180E" w:rsidRPr="006D180E">
        <w:rPr>
          <w:rFonts w:ascii="Arial" w:hAnsi="Arial"/>
          <w:b/>
          <w:szCs w:val="22"/>
        </w:rPr>
        <w:t>WILKOWICE</w:t>
      </w:r>
    </w:p>
    <w:p w14:paraId="2A433778" w14:textId="4D8EEB08" w:rsidR="00967D90" w:rsidRPr="006D180E" w:rsidRDefault="00406F1C" w:rsidP="00AE29E1">
      <w:pPr>
        <w:spacing w:line="276" w:lineRule="auto"/>
        <w:jc w:val="center"/>
        <w:rPr>
          <w:rFonts w:ascii="Arial" w:hAnsi="Arial"/>
          <w:b/>
          <w:szCs w:val="22"/>
        </w:rPr>
      </w:pPr>
      <w:r w:rsidRPr="006D180E">
        <w:rPr>
          <w:rFonts w:ascii="Arial" w:hAnsi="Arial"/>
          <w:b/>
          <w:szCs w:val="22"/>
        </w:rPr>
        <w:t>z</w:t>
      </w:r>
      <w:r w:rsidR="00967D90" w:rsidRPr="006D180E">
        <w:rPr>
          <w:rFonts w:ascii="Arial" w:hAnsi="Arial"/>
          <w:b/>
          <w:szCs w:val="22"/>
        </w:rPr>
        <w:t xml:space="preserve"> </w:t>
      </w:r>
      <w:r w:rsidRPr="006D180E">
        <w:rPr>
          <w:rFonts w:ascii="Arial" w:hAnsi="Arial"/>
          <w:b/>
          <w:szCs w:val="22"/>
        </w:rPr>
        <w:t xml:space="preserve">dnia </w:t>
      </w:r>
      <w:r w:rsidR="00F81C93">
        <w:rPr>
          <w:rFonts w:ascii="Arial" w:hAnsi="Arial"/>
          <w:b/>
          <w:szCs w:val="22"/>
        </w:rPr>
        <w:t>16 sierpnia</w:t>
      </w:r>
      <w:r w:rsidR="00F81C93" w:rsidRPr="006D180E">
        <w:rPr>
          <w:rFonts w:ascii="Arial" w:hAnsi="Arial"/>
          <w:b/>
          <w:szCs w:val="22"/>
        </w:rPr>
        <w:t xml:space="preserve"> </w:t>
      </w:r>
      <w:r w:rsidR="006A688E" w:rsidRPr="006D180E">
        <w:rPr>
          <w:rFonts w:ascii="Arial" w:hAnsi="Arial"/>
          <w:b/>
          <w:szCs w:val="22"/>
        </w:rPr>
        <w:t>20</w:t>
      </w:r>
      <w:r w:rsidR="00124E97" w:rsidRPr="006D180E">
        <w:rPr>
          <w:rFonts w:ascii="Arial" w:hAnsi="Arial"/>
          <w:b/>
          <w:szCs w:val="22"/>
        </w:rPr>
        <w:t>2</w:t>
      </w:r>
      <w:r w:rsidR="00F81C93">
        <w:rPr>
          <w:rFonts w:ascii="Arial" w:hAnsi="Arial"/>
          <w:b/>
          <w:szCs w:val="22"/>
        </w:rPr>
        <w:t>1</w:t>
      </w:r>
      <w:r w:rsidR="006A688E" w:rsidRPr="006D180E">
        <w:rPr>
          <w:rFonts w:ascii="Arial" w:hAnsi="Arial"/>
          <w:b/>
          <w:szCs w:val="22"/>
        </w:rPr>
        <w:t xml:space="preserve"> </w:t>
      </w:r>
      <w:r w:rsidRPr="006D180E">
        <w:rPr>
          <w:rFonts w:ascii="Arial" w:hAnsi="Arial"/>
          <w:b/>
          <w:szCs w:val="22"/>
        </w:rPr>
        <w:t>r.</w:t>
      </w:r>
    </w:p>
    <w:p w14:paraId="6FB3B11C" w14:textId="77777777" w:rsidR="00967D90" w:rsidRPr="006D180E" w:rsidRDefault="00967D90">
      <w:pPr>
        <w:spacing w:line="276" w:lineRule="auto"/>
        <w:jc w:val="center"/>
        <w:rPr>
          <w:rFonts w:ascii="Arial" w:hAnsi="Arial"/>
          <w:b/>
          <w:szCs w:val="22"/>
        </w:rPr>
      </w:pPr>
    </w:p>
    <w:p w14:paraId="5B9E7A0E" w14:textId="77777777" w:rsidR="00967D90" w:rsidRPr="006D180E" w:rsidRDefault="00967D90">
      <w:pPr>
        <w:spacing w:line="276" w:lineRule="auto"/>
        <w:jc w:val="center"/>
        <w:rPr>
          <w:rFonts w:ascii="Arial" w:hAnsi="Arial"/>
          <w:szCs w:val="22"/>
        </w:rPr>
      </w:pPr>
    </w:p>
    <w:p w14:paraId="69BD40BA" w14:textId="7EDB6F43" w:rsidR="00337BCB" w:rsidRPr="006D180E" w:rsidRDefault="00337BCB">
      <w:pPr>
        <w:spacing w:line="276" w:lineRule="auto"/>
        <w:jc w:val="both"/>
        <w:rPr>
          <w:rFonts w:ascii="Arial" w:hAnsi="Arial"/>
          <w:b/>
          <w:bCs/>
          <w:szCs w:val="22"/>
        </w:rPr>
      </w:pPr>
      <w:r w:rsidRPr="006D180E">
        <w:rPr>
          <w:rFonts w:ascii="Arial" w:hAnsi="Arial"/>
          <w:b/>
          <w:bCs/>
          <w:szCs w:val="22"/>
        </w:rPr>
        <w:t>w sprawie wprowadzenia</w:t>
      </w:r>
      <w:r w:rsidR="00F81C93">
        <w:rPr>
          <w:rFonts w:ascii="Arial" w:hAnsi="Arial"/>
          <w:b/>
          <w:bCs/>
          <w:szCs w:val="22"/>
        </w:rPr>
        <w:t xml:space="preserve"> zmian w stosowaniu </w:t>
      </w:r>
      <w:r w:rsidR="00255BB6" w:rsidRPr="006D180E">
        <w:rPr>
          <w:rFonts w:ascii="Arial" w:hAnsi="Arial"/>
          <w:b/>
          <w:bCs/>
          <w:szCs w:val="22"/>
        </w:rPr>
        <w:t>instrukcji</w:t>
      </w:r>
      <w:r w:rsidR="00971F0E" w:rsidRPr="006D180E">
        <w:rPr>
          <w:rFonts w:ascii="Arial" w:hAnsi="Arial"/>
          <w:b/>
          <w:bCs/>
          <w:szCs w:val="22"/>
        </w:rPr>
        <w:t xml:space="preserve"> </w:t>
      </w:r>
      <w:r w:rsidR="00A924CA" w:rsidRPr="006D180E">
        <w:rPr>
          <w:rFonts w:ascii="Arial" w:hAnsi="Arial"/>
          <w:b/>
          <w:bCs/>
          <w:szCs w:val="22"/>
        </w:rPr>
        <w:t xml:space="preserve">w zakresie </w:t>
      </w:r>
      <w:r w:rsidR="00124E97" w:rsidRPr="006D180E">
        <w:rPr>
          <w:rFonts w:ascii="Arial" w:hAnsi="Arial"/>
          <w:b/>
          <w:bCs/>
          <w:szCs w:val="22"/>
        </w:rPr>
        <w:t xml:space="preserve">identyfikacji i klasyfikacji transakcji na potrzeby oznaczeń stosowanych w pliku JPK_V7M </w:t>
      </w:r>
      <w:r w:rsidR="000B185D" w:rsidRPr="006D180E">
        <w:rPr>
          <w:rFonts w:ascii="Arial" w:hAnsi="Arial"/>
          <w:b/>
          <w:bCs/>
          <w:szCs w:val="22"/>
        </w:rPr>
        <w:t xml:space="preserve">w jednostkach budżetowych </w:t>
      </w:r>
      <w:r w:rsidR="00576FA8" w:rsidRPr="006D180E">
        <w:rPr>
          <w:rFonts w:ascii="Arial" w:hAnsi="Arial"/>
          <w:b/>
          <w:bCs/>
          <w:szCs w:val="22"/>
        </w:rPr>
        <w:t xml:space="preserve">Gminy </w:t>
      </w:r>
      <w:r w:rsidR="006D180E" w:rsidRPr="006D180E">
        <w:rPr>
          <w:rFonts w:ascii="Arial" w:hAnsi="Arial"/>
          <w:b/>
          <w:bCs/>
          <w:szCs w:val="22"/>
        </w:rPr>
        <w:t>Wilkowice</w:t>
      </w:r>
      <w:r w:rsidR="00A628CF">
        <w:rPr>
          <w:rFonts w:ascii="Arial" w:hAnsi="Arial"/>
          <w:b/>
          <w:bCs/>
          <w:szCs w:val="22"/>
        </w:rPr>
        <w:t xml:space="preserve"> oraz w </w:t>
      </w:r>
      <w:r w:rsidR="000B185D" w:rsidRPr="006D180E">
        <w:rPr>
          <w:rFonts w:ascii="Arial" w:hAnsi="Arial"/>
          <w:b/>
          <w:bCs/>
          <w:szCs w:val="22"/>
        </w:rPr>
        <w:t xml:space="preserve">Urzędzie </w:t>
      </w:r>
      <w:r w:rsidR="0055575A" w:rsidRPr="006D180E">
        <w:rPr>
          <w:rFonts w:ascii="Arial" w:hAnsi="Arial"/>
          <w:b/>
          <w:bCs/>
          <w:szCs w:val="22"/>
        </w:rPr>
        <w:t xml:space="preserve">Gminy </w:t>
      </w:r>
      <w:r w:rsidR="006D180E" w:rsidRPr="006D180E">
        <w:rPr>
          <w:rFonts w:ascii="Arial" w:hAnsi="Arial"/>
          <w:b/>
          <w:bCs/>
          <w:szCs w:val="22"/>
        </w:rPr>
        <w:t>Wilkowice</w:t>
      </w:r>
    </w:p>
    <w:p w14:paraId="1C691104" w14:textId="77777777" w:rsidR="00F47AEB" w:rsidRPr="006D180E" w:rsidRDefault="00F47AEB">
      <w:pPr>
        <w:spacing w:line="276" w:lineRule="auto"/>
        <w:rPr>
          <w:rFonts w:ascii="Arial" w:hAnsi="Arial"/>
          <w:b/>
          <w:bCs/>
          <w:szCs w:val="22"/>
        </w:rPr>
      </w:pPr>
    </w:p>
    <w:p w14:paraId="05BE7A15" w14:textId="77777777" w:rsidR="006A688E" w:rsidRPr="006D180E" w:rsidRDefault="006A688E">
      <w:pPr>
        <w:spacing w:line="276" w:lineRule="auto"/>
        <w:rPr>
          <w:rFonts w:ascii="Arial" w:hAnsi="Arial"/>
          <w:szCs w:val="22"/>
        </w:rPr>
      </w:pPr>
    </w:p>
    <w:p w14:paraId="707E36D8" w14:textId="1A1627BC" w:rsidR="00653CAE" w:rsidRDefault="00C654F6">
      <w:pPr>
        <w:spacing w:line="276" w:lineRule="auto"/>
        <w:jc w:val="both"/>
        <w:rPr>
          <w:rFonts w:ascii="Arial" w:hAnsi="Arial"/>
          <w:szCs w:val="22"/>
        </w:rPr>
      </w:pPr>
      <w:bookmarkStart w:id="0" w:name="page2"/>
      <w:bookmarkEnd w:id="0"/>
      <w:r w:rsidRPr="00C654F6">
        <w:rPr>
          <w:rFonts w:ascii="Arial" w:hAnsi="Arial"/>
          <w:szCs w:val="22"/>
        </w:rPr>
        <w:t>Na podstawie art. 30, art. 31 oraz art. 33 ust. 3 ustawy z dnia 8 marca 1990 r. o samorządzie gminnym (</w:t>
      </w:r>
      <w:proofErr w:type="spellStart"/>
      <w:r w:rsidRPr="00C654F6">
        <w:rPr>
          <w:rFonts w:ascii="Arial" w:hAnsi="Arial"/>
          <w:szCs w:val="22"/>
        </w:rPr>
        <w:t>t.j</w:t>
      </w:r>
      <w:proofErr w:type="spellEnd"/>
      <w:r w:rsidRPr="00C654F6">
        <w:rPr>
          <w:rFonts w:ascii="Arial" w:hAnsi="Arial"/>
          <w:szCs w:val="22"/>
        </w:rPr>
        <w:t>. Dz.U. z 202</w:t>
      </w:r>
      <w:r w:rsidR="00F81C93">
        <w:rPr>
          <w:rFonts w:ascii="Arial" w:hAnsi="Arial"/>
          <w:szCs w:val="22"/>
        </w:rPr>
        <w:t>1</w:t>
      </w:r>
      <w:r w:rsidRPr="00C654F6">
        <w:rPr>
          <w:rFonts w:ascii="Arial" w:hAnsi="Arial"/>
          <w:szCs w:val="22"/>
        </w:rPr>
        <w:t xml:space="preserve"> r., poz. </w:t>
      </w:r>
      <w:r w:rsidR="00F81C93">
        <w:rPr>
          <w:rFonts w:ascii="Arial" w:hAnsi="Arial"/>
          <w:szCs w:val="22"/>
        </w:rPr>
        <w:t>1372</w:t>
      </w:r>
      <w:r w:rsidRPr="00C654F6">
        <w:rPr>
          <w:rFonts w:ascii="Arial" w:hAnsi="Arial"/>
          <w:szCs w:val="22"/>
        </w:rPr>
        <w:t xml:space="preserve">) w związku z przepisami art. 1 pkt 17 </w:t>
      </w:r>
      <w:r>
        <w:rPr>
          <w:rFonts w:ascii="Arial" w:hAnsi="Arial"/>
          <w:szCs w:val="22"/>
        </w:rPr>
        <w:t>ustawy z dnia 4 lipca 2019 r. o </w:t>
      </w:r>
      <w:r w:rsidRPr="00C654F6">
        <w:rPr>
          <w:rFonts w:ascii="Arial" w:hAnsi="Arial"/>
          <w:szCs w:val="22"/>
        </w:rPr>
        <w:t>zmianie ustawy o podatku od towarów i usług oraz niektórych innych ustaw (</w:t>
      </w:r>
      <w:proofErr w:type="spellStart"/>
      <w:r w:rsidRPr="00C654F6">
        <w:rPr>
          <w:rFonts w:ascii="Arial" w:hAnsi="Arial"/>
          <w:szCs w:val="22"/>
        </w:rPr>
        <w:t>t.j</w:t>
      </w:r>
      <w:proofErr w:type="spellEnd"/>
      <w:r>
        <w:rPr>
          <w:rFonts w:ascii="Arial" w:hAnsi="Arial"/>
          <w:szCs w:val="22"/>
        </w:rPr>
        <w:t>. Dz.U. z 2019 r., poz.</w:t>
      </w:r>
      <w:r w:rsidR="00A45EDC">
        <w:rPr>
          <w:rFonts w:ascii="Arial" w:hAnsi="Arial"/>
          <w:szCs w:val="22"/>
        </w:rPr>
        <w:t> </w:t>
      </w:r>
      <w:r>
        <w:rPr>
          <w:rFonts w:ascii="Arial" w:hAnsi="Arial"/>
          <w:szCs w:val="22"/>
        </w:rPr>
        <w:t>1520, z </w:t>
      </w:r>
      <w:r w:rsidRPr="00C654F6">
        <w:rPr>
          <w:rFonts w:ascii="Arial" w:hAnsi="Arial"/>
          <w:szCs w:val="22"/>
        </w:rPr>
        <w:t>2020 r. poz. 568, 1086) wprowadzającymi od dnia 1 października 2020 r. obowiązek składania plików JPK_VAT z deklaracją VAT (JPK_V7M)</w:t>
      </w:r>
      <w:r w:rsidR="00A45EDC">
        <w:rPr>
          <w:rFonts w:ascii="Arial" w:hAnsi="Arial"/>
          <w:szCs w:val="22"/>
        </w:rPr>
        <w:t xml:space="preserve"> oraz </w:t>
      </w:r>
      <w:r w:rsidR="00FF7418" w:rsidRPr="00FF7418">
        <w:rPr>
          <w:rFonts w:ascii="Arial" w:hAnsi="Arial"/>
          <w:szCs w:val="22"/>
        </w:rPr>
        <w:t xml:space="preserve">Rozporządzenia Ministra Finansów, Funduszy i Polityki Regionalnej </w:t>
      </w:r>
      <w:r w:rsidR="00FF7418">
        <w:rPr>
          <w:rFonts w:ascii="Arial" w:hAnsi="Arial"/>
          <w:szCs w:val="22"/>
        </w:rPr>
        <w:t xml:space="preserve">z dnia 29 czerwca 2021 r. zmieniającego rozporządzenie </w:t>
      </w:r>
      <w:r w:rsidR="00FF7418" w:rsidRPr="00FF7418">
        <w:rPr>
          <w:rFonts w:ascii="Arial" w:hAnsi="Arial"/>
          <w:szCs w:val="22"/>
        </w:rPr>
        <w:t>w sprawie szczegółowego zakresu danych zawartych w deklaracjach podatkowych i w ewidencji w zakresie podatku od towarów i usług</w:t>
      </w:r>
      <w:r w:rsidR="005B574F">
        <w:rPr>
          <w:rFonts w:ascii="Arial" w:hAnsi="Arial"/>
          <w:szCs w:val="22"/>
        </w:rPr>
        <w:t xml:space="preserve"> (Dz. U. z 2021 r., poz. 1179).</w:t>
      </w:r>
    </w:p>
    <w:p w14:paraId="0B062D99" w14:textId="77777777" w:rsidR="00C654F6" w:rsidRPr="006D180E" w:rsidRDefault="00C654F6">
      <w:pPr>
        <w:spacing w:line="276" w:lineRule="auto"/>
        <w:rPr>
          <w:rFonts w:ascii="Arial" w:hAnsi="Arial"/>
          <w:szCs w:val="22"/>
        </w:rPr>
      </w:pPr>
    </w:p>
    <w:p w14:paraId="5D176DFD" w14:textId="77777777" w:rsidR="00E12BB3" w:rsidRPr="006D180E" w:rsidRDefault="00E12BB3">
      <w:pPr>
        <w:spacing w:line="276" w:lineRule="auto"/>
        <w:jc w:val="center"/>
        <w:rPr>
          <w:rFonts w:ascii="Arial" w:hAnsi="Arial"/>
          <w:b/>
          <w:spacing w:val="20"/>
          <w:szCs w:val="22"/>
        </w:rPr>
      </w:pPr>
      <w:r w:rsidRPr="006D180E">
        <w:rPr>
          <w:rFonts w:ascii="Arial" w:hAnsi="Arial"/>
          <w:b/>
          <w:spacing w:val="20"/>
          <w:szCs w:val="22"/>
        </w:rPr>
        <w:t>postanawiam</w:t>
      </w:r>
    </w:p>
    <w:p w14:paraId="66E36AC2" w14:textId="77777777" w:rsidR="00650F5D" w:rsidRPr="006D180E" w:rsidRDefault="00650F5D">
      <w:pPr>
        <w:spacing w:line="276" w:lineRule="auto"/>
        <w:rPr>
          <w:rFonts w:ascii="Arial" w:hAnsi="Arial"/>
          <w:szCs w:val="22"/>
        </w:rPr>
      </w:pPr>
    </w:p>
    <w:p w14:paraId="3D838B3D" w14:textId="77777777" w:rsidR="00E12BB3" w:rsidRPr="006D180E" w:rsidRDefault="009D52DD">
      <w:pPr>
        <w:spacing w:line="276" w:lineRule="auto"/>
        <w:jc w:val="center"/>
        <w:rPr>
          <w:rFonts w:ascii="Arial" w:hAnsi="Arial"/>
          <w:b/>
          <w:szCs w:val="22"/>
        </w:rPr>
      </w:pPr>
      <w:r w:rsidRPr="006D180E">
        <w:rPr>
          <w:rFonts w:ascii="Arial" w:hAnsi="Arial"/>
          <w:b/>
          <w:szCs w:val="22"/>
        </w:rPr>
        <w:t>§ 1</w:t>
      </w:r>
    </w:p>
    <w:p w14:paraId="7A81792D" w14:textId="77777777" w:rsidR="00A93066" w:rsidRPr="006D180E" w:rsidRDefault="00A93066">
      <w:pPr>
        <w:spacing w:line="276" w:lineRule="auto"/>
        <w:rPr>
          <w:rFonts w:ascii="Arial" w:hAnsi="Arial"/>
          <w:szCs w:val="22"/>
        </w:rPr>
      </w:pPr>
    </w:p>
    <w:p w14:paraId="21463FC8" w14:textId="1AA04A37" w:rsidR="00FD2560" w:rsidRDefault="00A93066">
      <w:pPr>
        <w:numPr>
          <w:ilvl w:val="0"/>
          <w:numId w:val="11"/>
        </w:numPr>
        <w:spacing w:line="276" w:lineRule="auto"/>
        <w:ind w:left="567" w:right="21" w:hanging="567"/>
        <w:jc w:val="both"/>
        <w:rPr>
          <w:rFonts w:ascii="Arial" w:hAnsi="Arial"/>
          <w:szCs w:val="22"/>
        </w:rPr>
      </w:pPr>
      <w:r w:rsidRPr="006D180E">
        <w:rPr>
          <w:rFonts w:ascii="Arial" w:hAnsi="Arial"/>
          <w:szCs w:val="22"/>
        </w:rPr>
        <w:t xml:space="preserve">Wprowadzić </w:t>
      </w:r>
      <w:r w:rsidR="005B574F">
        <w:rPr>
          <w:rFonts w:ascii="Arial" w:hAnsi="Arial"/>
          <w:szCs w:val="22"/>
        </w:rPr>
        <w:t xml:space="preserve">z dniem 1 sierpnia </w:t>
      </w:r>
      <w:r w:rsidR="002F37A4">
        <w:rPr>
          <w:rFonts w:ascii="Arial" w:hAnsi="Arial"/>
          <w:szCs w:val="22"/>
        </w:rPr>
        <w:t xml:space="preserve">następujące </w:t>
      </w:r>
      <w:r w:rsidR="00F81C93">
        <w:rPr>
          <w:rFonts w:ascii="Arial" w:hAnsi="Arial"/>
          <w:szCs w:val="22"/>
        </w:rPr>
        <w:t xml:space="preserve">zmiany w </w:t>
      </w:r>
      <w:r w:rsidR="00A45EDC">
        <w:rPr>
          <w:rFonts w:ascii="Arial" w:hAnsi="Arial"/>
          <w:szCs w:val="22"/>
        </w:rPr>
        <w:t xml:space="preserve">obowiązującej w Gminie </w:t>
      </w:r>
      <w:r w:rsidRPr="006D180E">
        <w:rPr>
          <w:rFonts w:ascii="Arial" w:hAnsi="Arial"/>
          <w:szCs w:val="22"/>
        </w:rPr>
        <w:t>„</w:t>
      </w:r>
      <w:r w:rsidR="00971F0E" w:rsidRPr="006D180E">
        <w:rPr>
          <w:rFonts w:ascii="Arial" w:hAnsi="Arial"/>
          <w:szCs w:val="22"/>
        </w:rPr>
        <w:t>Instrukcj</w:t>
      </w:r>
      <w:r w:rsidR="00F81C93">
        <w:rPr>
          <w:rFonts w:ascii="Arial" w:hAnsi="Arial"/>
          <w:szCs w:val="22"/>
        </w:rPr>
        <w:t>i</w:t>
      </w:r>
      <w:r w:rsidR="00971F0E" w:rsidRPr="006D180E">
        <w:rPr>
          <w:rFonts w:ascii="Arial" w:hAnsi="Arial"/>
          <w:szCs w:val="22"/>
        </w:rPr>
        <w:t xml:space="preserve"> </w:t>
      </w:r>
      <w:r w:rsidR="00ED10C9" w:rsidRPr="006D180E">
        <w:rPr>
          <w:rFonts w:ascii="Arial" w:hAnsi="Arial"/>
          <w:szCs w:val="22"/>
        </w:rPr>
        <w:t>w</w:t>
      </w:r>
      <w:r w:rsidR="00ED10C9">
        <w:rPr>
          <w:rFonts w:ascii="Arial" w:hAnsi="Arial"/>
          <w:szCs w:val="22"/>
        </w:rPr>
        <w:t> </w:t>
      </w:r>
      <w:r w:rsidR="00971F0E" w:rsidRPr="006D180E">
        <w:rPr>
          <w:rFonts w:ascii="Arial" w:hAnsi="Arial"/>
          <w:szCs w:val="22"/>
        </w:rPr>
        <w:t>zakresie identyfikacji i</w:t>
      </w:r>
      <w:r w:rsidR="00A45EDC">
        <w:rPr>
          <w:rFonts w:ascii="Arial" w:hAnsi="Arial"/>
          <w:szCs w:val="22"/>
        </w:rPr>
        <w:t> </w:t>
      </w:r>
      <w:r w:rsidR="00971F0E" w:rsidRPr="006D180E">
        <w:rPr>
          <w:rFonts w:ascii="Arial" w:hAnsi="Arial"/>
          <w:szCs w:val="22"/>
        </w:rPr>
        <w:t>klasyfikacji transakcji na</w:t>
      </w:r>
      <w:r w:rsidR="00A45EDC">
        <w:rPr>
          <w:rFonts w:ascii="Arial" w:hAnsi="Arial"/>
          <w:szCs w:val="22"/>
        </w:rPr>
        <w:t> </w:t>
      </w:r>
      <w:r w:rsidR="00971F0E" w:rsidRPr="006D180E">
        <w:rPr>
          <w:rFonts w:ascii="Arial" w:hAnsi="Arial"/>
          <w:szCs w:val="22"/>
        </w:rPr>
        <w:t>potrzeby oznaczeń stosowanym w pliku JPK_V7M</w:t>
      </w:r>
      <w:r w:rsidRPr="006D180E">
        <w:rPr>
          <w:rFonts w:ascii="Arial" w:hAnsi="Arial"/>
          <w:szCs w:val="22"/>
        </w:rPr>
        <w:t>”</w:t>
      </w:r>
      <w:r w:rsidR="00A45EDC">
        <w:rPr>
          <w:rFonts w:ascii="Arial" w:hAnsi="Arial"/>
          <w:szCs w:val="22"/>
        </w:rPr>
        <w:t xml:space="preserve">, </w:t>
      </w:r>
      <w:r w:rsidRPr="006D180E">
        <w:rPr>
          <w:rFonts w:ascii="Arial" w:hAnsi="Arial"/>
          <w:szCs w:val="22"/>
        </w:rPr>
        <w:t>zwaną dalej „</w:t>
      </w:r>
      <w:r w:rsidR="00971F0E" w:rsidRPr="006D180E">
        <w:rPr>
          <w:rFonts w:ascii="Arial" w:hAnsi="Arial"/>
          <w:szCs w:val="22"/>
        </w:rPr>
        <w:t>Instrukcją JPK_V7M</w:t>
      </w:r>
      <w:r w:rsidRPr="006D180E">
        <w:rPr>
          <w:rFonts w:ascii="Arial" w:hAnsi="Arial"/>
          <w:szCs w:val="22"/>
        </w:rPr>
        <w:t>”</w:t>
      </w:r>
      <w:r w:rsidR="005B574F">
        <w:rPr>
          <w:rFonts w:ascii="Arial" w:hAnsi="Arial"/>
          <w:szCs w:val="22"/>
        </w:rPr>
        <w:t>, które to zmiany należy stosować począwszy od rozliczeń za lipiec 2021 r.</w:t>
      </w:r>
      <w:r w:rsidR="00FD2560">
        <w:rPr>
          <w:rFonts w:ascii="Arial" w:hAnsi="Arial"/>
          <w:szCs w:val="22"/>
        </w:rPr>
        <w:t>:</w:t>
      </w:r>
    </w:p>
    <w:p w14:paraId="15C5B38F" w14:textId="77777777" w:rsidR="002948BF" w:rsidRDefault="002948BF" w:rsidP="005B574F">
      <w:pPr>
        <w:spacing w:line="276" w:lineRule="auto"/>
        <w:ind w:left="567" w:right="21"/>
        <w:jc w:val="both"/>
        <w:rPr>
          <w:rFonts w:ascii="Arial" w:hAnsi="Arial"/>
          <w:szCs w:val="22"/>
        </w:rPr>
      </w:pPr>
    </w:p>
    <w:p w14:paraId="16286A88" w14:textId="055E05E0" w:rsidR="001F715E" w:rsidRDefault="002F37A4" w:rsidP="005B574F">
      <w:pPr>
        <w:pStyle w:val="Akapitzlist"/>
        <w:numPr>
          <w:ilvl w:val="1"/>
          <w:numId w:val="11"/>
        </w:numPr>
        <w:spacing w:line="276" w:lineRule="auto"/>
        <w:ind w:right="21"/>
        <w:jc w:val="both"/>
        <w:rPr>
          <w:rFonts w:ascii="Arial" w:hAnsi="Arial"/>
          <w:szCs w:val="22"/>
        </w:rPr>
      </w:pPr>
      <w:r>
        <w:rPr>
          <w:rFonts w:ascii="Arial" w:hAnsi="Arial"/>
          <w:szCs w:val="22"/>
        </w:rPr>
        <w:t>w</w:t>
      </w:r>
      <w:r w:rsidR="001F715E">
        <w:rPr>
          <w:rFonts w:ascii="Arial" w:hAnsi="Arial"/>
          <w:szCs w:val="22"/>
        </w:rPr>
        <w:t xml:space="preserve"> części I Instrukcji JPK_V7M:</w:t>
      </w:r>
    </w:p>
    <w:p w14:paraId="03141F25" w14:textId="77777777" w:rsidR="00F66C32" w:rsidRDefault="00F66C32" w:rsidP="005B574F">
      <w:pPr>
        <w:pStyle w:val="Akapitzlist"/>
        <w:spacing w:line="276" w:lineRule="auto"/>
        <w:ind w:left="1115" w:right="21"/>
        <w:jc w:val="both"/>
        <w:rPr>
          <w:rFonts w:ascii="Arial" w:hAnsi="Arial"/>
          <w:szCs w:val="22"/>
        </w:rPr>
      </w:pPr>
    </w:p>
    <w:p w14:paraId="2AD89450" w14:textId="35FB8DD5" w:rsidR="002F37A4" w:rsidRDefault="002F37A4" w:rsidP="005B574F">
      <w:pPr>
        <w:pStyle w:val="Akapitzlist"/>
        <w:numPr>
          <w:ilvl w:val="2"/>
          <w:numId w:val="11"/>
        </w:numPr>
        <w:spacing w:line="276" w:lineRule="auto"/>
        <w:ind w:right="21"/>
        <w:jc w:val="both"/>
        <w:rPr>
          <w:rFonts w:ascii="Arial" w:hAnsi="Arial"/>
          <w:szCs w:val="22"/>
        </w:rPr>
      </w:pPr>
      <w:r>
        <w:rPr>
          <w:rFonts w:ascii="Arial" w:hAnsi="Arial"/>
          <w:szCs w:val="22"/>
        </w:rPr>
        <w:t xml:space="preserve"> </w:t>
      </w:r>
      <w:r w:rsidR="00206DCC">
        <w:rPr>
          <w:rFonts w:ascii="Arial" w:hAnsi="Arial"/>
          <w:szCs w:val="22"/>
        </w:rPr>
        <w:t>w punkcie 3.1. „Wyjaśnienia oznaczeń GTU” opisom wymienionych oznaczeń GTU nadaje się następujące brzmienie:</w:t>
      </w:r>
    </w:p>
    <w:p w14:paraId="0E7CF17C" w14:textId="77777777" w:rsidR="00F66C32" w:rsidRPr="00AC6B0A" w:rsidRDefault="00F66C32" w:rsidP="005B574F">
      <w:pPr>
        <w:pStyle w:val="Akapitzlist"/>
        <w:spacing w:line="276" w:lineRule="auto"/>
        <w:ind w:left="1835" w:right="21"/>
        <w:jc w:val="both"/>
        <w:rPr>
          <w:rFonts w:ascii="Arial" w:hAnsi="Arial"/>
        </w:rPr>
      </w:pPr>
    </w:p>
    <w:p w14:paraId="7798675A" w14:textId="6AD58886" w:rsidR="00206DCC" w:rsidRPr="009013A2" w:rsidRDefault="005D1494" w:rsidP="005B574F">
      <w:pPr>
        <w:pStyle w:val="Akapitzlist"/>
        <w:numPr>
          <w:ilvl w:val="3"/>
          <w:numId w:val="11"/>
        </w:numPr>
        <w:spacing w:line="276" w:lineRule="auto"/>
        <w:ind w:left="2694" w:right="21"/>
        <w:jc w:val="both"/>
        <w:rPr>
          <w:rFonts w:ascii="Arial" w:hAnsi="Arial"/>
          <w:color w:val="000000" w:themeColor="text1"/>
        </w:rPr>
      </w:pPr>
      <w:r w:rsidRPr="005B574F">
        <w:rPr>
          <w:rFonts w:ascii="Arial" w:hAnsi="Arial"/>
          <w:color w:val="000000" w:themeColor="text1"/>
        </w:rPr>
        <w:t>„</w:t>
      </w:r>
      <w:r w:rsidR="00206DCC" w:rsidRPr="005B574F">
        <w:rPr>
          <w:rFonts w:ascii="Arial" w:hAnsi="Arial"/>
          <w:b/>
          <w:color w:val="000000" w:themeColor="text1"/>
        </w:rPr>
        <w:t>GTU_01</w:t>
      </w:r>
      <w:r w:rsidR="00206DCC" w:rsidRPr="005B574F">
        <w:rPr>
          <w:rFonts w:ascii="Arial" w:hAnsi="Arial"/>
          <w:color w:val="000000" w:themeColor="text1"/>
        </w:rPr>
        <w:t xml:space="preserve"> – Dostawa</w:t>
      </w:r>
      <w:r w:rsidR="00206DCC" w:rsidRPr="005B574F">
        <w:rPr>
          <w:rFonts w:ascii="Arial" w:hAnsi="Arial"/>
          <w:b/>
          <w:color w:val="000000" w:themeColor="text1"/>
        </w:rPr>
        <w:t xml:space="preserve"> </w:t>
      </w:r>
      <w:r w:rsidR="00206DCC" w:rsidRPr="005B574F">
        <w:rPr>
          <w:rFonts w:ascii="Arial" w:hAnsi="Arial"/>
          <w:b/>
          <w:color w:val="000000" w:themeColor="text1"/>
          <w:shd w:val="clear" w:color="auto" w:fill="FFFFFF"/>
        </w:rPr>
        <w:t>napojów alkoholowych o zawartości alkoholu powyżej 1,2%, piwa oraz napojów alkoholowych będących mieszaniną piwa i napojów bezalkoholowych, w których zawartość alkoholu przekracza 0,5%</w:t>
      </w:r>
      <w:r w:rsidR="00206DCC" w:rsidRPr="005B574F">
        <w:rPr>
          <w:rFonts w:ascii="Arial" w:hAnsi="Arial"/>
          <w:color w:val="000000" w:themeColor="text1"/>
          <w:shd w:val="clear" w:color="auto" w:fill="FFFFFF"/>
        </w:rPr>
        <w:t xml:space="preserve"> (CN od 2203 do 2208)</w:t>
      </w:r>
      <w:r w:rsidR="00206DCC" w:rsidRPr="009013A2">
        <w:rPr>
          <w:rFonts w:ascii="Arial" w:hAnsi="Arial"/>
          <w:color w:val="000000" w:themeColor="text1"/>
          <w:shd w:val="clear" w:color="auto" w:fill="FFFFFF"/>
        </w:rPr>
        <w:t>.</w:t>
      </w:r>
      <w:r w:rsidRPr="009013A2">
        <w:rPr>
          <w:rFonts w:ascii="Arial" w:hAnsi="Arial"/>
          <w:color w:val="000000" w:themeColor="text1"/>
          <w:shd w:val="clear" w:color="auto" w:fill="FFFFFF"/>
        </w:rPr>
        <w:t xml:space="preserve"> </w:t>
      </w:r>
      <w:r w:rsidRPr="005B574F">
        <w:rPr>
          <w:rFonts w:ascii="Arial" w:hAnsi="Arial"/>
          <w:color w:val="000000" w:themeColor="text1"/>
        </w:rPr>
        <w:t xml:space="preserve">Do dostaw napojów alkoholowych </w:t>
      </w:r>
      <w:r w:rsidRPr="009013A2">
        <w:rPr>
          <w:rFonts w:ascii="Arial" w:hAnsi="Arial"/>
          <w:color w:val="000000" w:themeColor="text1"/>
        </w:rPr>
        <w:t xml:space="preserve">i bezalkoholowych </w:t>
      </w:r>
      <w:r w:rsidRPr="005B574F">
        <w:rPr>
          <w:rFonts w:ascii="Arial" w:hAnsi="Arial"/>
          <w:color w:val="000000" w:themeColor="text1"/>
        </w:rPr>
        <w:t xml:space="preserve">należy zaliczyć wyroby o rzeczywistej objętościowej mocy alkoholu przekraczającej </w:t>
      </w:r>
      <w:r w:rsidRPr="009013A2">
        <w:rPr>
          <w:rFonts w:ascii="Arial" w:hAnsi="Arial"/>
          <w:color w:val="000000" w:themeColor="text1"/>
        </w:rPr>
        <w:t xml:space="preserve">odpowiednio </w:t>
      </w:r>
      <w:r w:rsidRPr="005B574F">
        <w:rPr>
          <w:rFonts w:ascii="Arial" w:hAnsi="Arial"/>
          <w:color w:val="000000" w:themeColor="text1"/>
        </w:rPr>
        <w:t>1,2%</w:t>
      </w:r>
      <w:r w:rsidRPr="009013A2">
        <w:rPr>
          <w:rFonts w:ascii="Arial" w:hAnsi="Arial"/>
          <w:color w:val="000000" w:themeColor="text1"/>
        </w:rPr>
        <w:t xml:space="preserve"> lub 0,5% </w:t>
      </w:r>
      <w:r w:rsidRPr="005B574F">
        <w:rPr>
          <w:rFonts w:ascii="Arial" w:hAnsi="Arial"/>
          <w:color w:val="000000" w:themeColor="text1"/>
        </w:rPr>
        <w:t>objętości (nawet jeżeli są to wyroby stanowiące część innego wyrobu).</w:t>
      </w:r>
      <w:r w:rsidRPr="009013A2">
        <w:rPr>
          <w:rFonts w:ascii="Arial" w:hAnsi="Arial"/>
          <w:color w:val="000000" w:themeColor="text1"/>
        </w:rPr>
        <w:t>”</w:t>
      </w:r>
    </w:p>
    <w:p w14:paraId="1CE374F1" w14:textId="77777777" w:rsidR="00AE29E1" w:rsidRPr="005B574F" w:rsidRDefault="00AE29E1" w:rsidP="005B574F">
      <w:pPr>
        <w:pStyle w:val="Akapitzlist"/>
        <w:spacing w:line="276" w:lineRule="auto"/>
        <w:ind w:left="2694" w:right="21"/>
        <w:jc w:val="both"/>
        <w:rPr>
          <w:rFonts w:ascii="Arial" w:hAnsi="Arial"/>
          <w:color w:val="000000" w:themeColor="text1"/>
        </w:rPr>
      </w:pPr>
    </w:p>
    <w:p w14:paraId="3E0A31F4" w14:textId="5D0A098E" w:rsidR="00206DCC" w:rsidRPr="005B574F" w:rsidRDefault="005D1494" w:rsidP="005B574F">
      <w:pPr>
        <w:pStyle w:val="Akapitzlist"/>
        <w:numPr>
          <w:ilvl w:val="3"/>
          <w:numId w:val="11"/>
        </w:numPr>
        <w:spacing w:line="276" w:lineRule="auto"/>
        <w:ind w:left="2694" w:right="21"/>
        <w:jc w:val="both"/>
        <w:rPr>
          <w:rFonts w:ascii="Arial" w:hAnsi="Arial"/>
          <w:color w:val="000000" w:themeColor="text1"/>
        </w:rPr>
      </w:pPr>
      <w:r w:rsidRPr="005B574F">
        <w:rPr>
          <w:rFonts w:ascii="Arial" w:hAnsi="Arial"/>
          <w:color w:val="000000" w:themeColor="text1"/>
        </w:rPr>
        <w:t>„</w:t>
      </w:r>
      <w:r w:rsidR="00206DCC" w:rsidRPr="005B574F">
        <w:rPr>
          <w:rFonts w:ascii="Arial" w:hAnsi="Arial"/>
          <w:b/>
          <w:color w:val="000000" w:themeColor="text1"/>
        </w:rPr>
        <w:t>GTU_03</w:t>
      </w:r>
      <w:r w:rsidR="00206DCC" w:rsidRPr="005B574F">
        <w:rPr>
          <w:rFonts w:ascii="Arial" w:hAnsi="Arial"/>
          <w:color w:val="000000" w:themeColor="text1"/>
        </w:rPr>
        <w:t xml:space="preserve"> – Dostawa </w:t>
      </w:r>
      <w:r w:rsidR="00206DCC" w:rsidRPr="005B574F">
        <w:rPr>
          <w:rFonts w:ascii="Arial" w:hAnsi="Arial"/>
          <w:b/>
          <w:color w:val="000000" w:themeColor="text1"/>
          <w:shd w:val="clear" w:color="auto" w:fill="FFFFFF"/>
        </w:rPr>
        <w:t>olejów op</w:t>
      </w:r>
      <w:r w:rsidRPr="005B574F">
        <w:rPr>
          <w:rFonts w:ascii="Arial" w:hAnsi="Arial"/>
          <w:b/>
          <w:color w:val="000000" w:themeColor="text1"/>
          <w:shd w:val="clear" w:color="auto" w:fill="FFFFFF"/>
        </w:rPr>
        <w:t xml:space="preserve">ałowych </w:t>
      </w:r>
      <w:r w:rsidR="00206DCC" w:rsidRPr="005B574F">
        <w:rPr>
          <w:rFonts w:ascii="Arial" w:hAnsi="Arial"/>
          <w:b/>
          <w:color w:val="000000" w:themeColor="text1"/>
          <w:shd w:val="clear" w:color="auto" w:fill="FFFFFF"/>
        </w:rPr>
        <w:t>nieobjętych oznaczeniem GTU_02</w:t>
      </w:r>
      <w:r w:rsidR="00206DCC" w:rsidRPr="005B574F">
        <w:rPr>
          <w:rFonts w:ascii="Arial" w:hAnsi="Arial"/>
          <w:color w:val="000000" w:themeColor="text1"/>
          <w:shd w:val="clear" w:color="auto" w:fill="FFFFFF"/>
        </w:rPr>
        <w:t>, olejów smarowych i pozostałych olejów (CN od 2710 19 71 do 2710 19 83 i CN od 2710 19 87 do 2710 19 99, z wyłączeniem smarów plastycznych zaliczonych do kodu CN 2710 19 99), olejów smarowych (CN 2710 20 90) oraz preparatów smarowych (CN 3403, z wyłączeniem smarów plastycznych objętych tą pozycją</w:t>
      </w:r>
      <w:r w:rsidRPr="005B574F">
        <w:rPr>
          <w:rFonts w:ascii="Arial" w:hAnsi="Arial"/>
          <w:color w:val="000000" w:themeColor="text1"/>
          <w:shd w:val="clear" w:color="auto" w:fill="FFFFFF"/>
        </w:rPr>
        <w:t xml:space="preserve">), </w:t>
      </w:r>
      <w:r w:rsidRPr="005B574F">
        <w:rPr>
          <w:rFonts w:ascii="Arial" w:hAnsi="Arial"/>
          <w:color w:val="000000" w:themeColor="text1"/>
        </w:rPr>
        <w:t>np. odsprzedaż oleju opałowego na rzecz instytucji kultury</w:t>
      </w:r>
      <w:r w:rsidRPr="005B574F">
        <w:rPr>
          <w:rFonts w:ascii="Arial" w:hAnsi="Arial"/>
          <w:color w:val="000000" w:themeColor="text1"/>
          <w:shd w:val="clear" w:color="auto" w:fill="FFFFFF"/>
        </w:rPr>
        <w:t>.</w:t>
      </w:r>
      <w:r w:rsidRPr="009013A2">
        <w:rPr>
          <w:rFonts w:ascii="Arial" w:hAnsi="Arial"/>
          <w:color w:val="000000" w:themeColor="text1"/>
          <w:shd w:val="clear" w:color="auto" w:fill="FFFFFF"/>
        </w:rPr>
        <w:t>”</w:t>
      </w:r>
    </w:p>
    <w:p w14:paraId="3722706A" w14:textId="77777777" w:rsidR="00AE29E1" w:rsidRPr="005B574F" w:rsidRDefault="00AE29E1" w:rsidP="005B574F">
      <w:pPr>
        <w:pStyle w:val="Akapitzlist"/>
        <w:jc w:val="both"/>
        <w:rPr>
          <w:rFonts w:ascii="Arial" w:hAnsi="Arial"/>
          <w:color w:val="000000" w:themeColor="text1"/>
        </w:rPr>
      </w:pPr>
    </w:p>
    <w:p w14:paraId="41E8C2E2" w14:textId="0357D188" w:rsidR="005D1494" w:rsidRPr="009013A2" w:rsidRDefault="005D1494" w:rsidP="005B574F">
      <w:pPr>
        <w:pStyle w:val="Akapitzlist"/>
        <w:numPr>
          <w:ilvl w:val="3"/>
          <w:numId w:val="11"/>
        </w:numPr>
        <w:spacing w:line="276" w:lineRule="auto"/>
        <w:ind w:left="2694" w:right="21"/>
        <w:jc w:val="both"/>
        <w:rPr>
          <w:rFonts w:ascii="Arial" w:hAnsi="Arial"/>
          <w:color w:val="000000" w:themeColor="text1"/>
        </w:rPr>
      </w:pPr>
      <w:r w:rsidRPr="009013A2">
        <w:rPr>
          <w:rFonts w:ascii="Arial" w:hAnsi="Arial"/>
          <w:color w:val="000000" w:themeColor="text1"/>
        </w:rPr>
        <w:t>„</w:t>
      </w:r>
      <w:r w:rsidRPr="005B574F">
        <w:rPr>
          <w:rFonts w:ascii="Arial" w:hAnsi="Arial"/>
          <w:b/>
          <w:color w:val="000000" w:themeColor="text1"/>
        </w:rPr>
        <w:t>GTU_10</w:t>
      </w:r>
      <w:r w:rsidRPr="005B574F">
        <w:rPr>
          <w:rFonts w:ascii="Arial" w:hAnsi="Arial"/>
          <w:color w:val="000000" w:themeColor="text1"/>
        </w:rPr>
        <w:t xml:space="preserve"> – Dostawa </w:t>
      </w:r>
      <w:r w:rsidRPr="005B574F">
        <w:rPr>
          <w:rFonts w:ascii="Arial" w:hAnsi="Arial"/>
          <w:b/>
          <w:color w:val="000000" w:themeColor="text1"/>
          <w:shd w:val="clear" w:color="auto" w:fill="FFFFFF"/>
        </w:rPr>
        <w:t>budynków, budowli i gruntów oraz ich części i</w:t>
      </w:r>
      <w:r w:rsidR="00ED10C9">
        <w:rPr>
          <w:rFonts w:ascii="Arial" w:hAnsi="Arial"/>
          <w:b/>
          <w:color w:val="000000" w:themeColor="text1"/>
          <w:shd w:val="clear" w:color="auto" w:fill="FFFFFF"/>
        </w:rPr>
        <w:t> </w:t>
      </w:r>
      <w:r w:rsidRPr="005B574F">
        <w:rPr>
          <w:rFonts w:ascii="Arial" w:hAnsi="Arial"/>
          <w:b/>
          <w:color w:val="000000" w:themeColor="text1"/>
          <w:shd w:val="clear" w:color="auto" w:fill="FFFFFF"/>
        </w:rPr>
        <w:t xml:space="preserve">udziałów w prawie własności, w tym również zbycia praw, </w:t>
      </w:r>
      <w:r w:rsidRPr="005B574F">
        <w:rPr>
          <w:rFonts w:ascii="Arial" w:hAnsi="Arial"/>
          <w:b/>
          <w:color w:val="000000" w:themeColor="text1"/>
          <w:shd w:val="clear" w:color="auto" w:fill="FFFFFF"/>
        </w:rPr>
        <w:lastRenderedPageBreak/>
        <w:t>o</w:t>
      </w:r>
      <w:r w:rsidR="00ED10C9">
        <w:rPr>
          <w:rFonts w:ascii="Arial" w:hAnsi="Arial"/>
          <w:b/>
          <w:color w:val="000000" w:themeColor="text1"/>
          <w:shd w:val="clear" w:color="auto" w:fill="FFFFFF"/>
        </w:rPr>
        <w:t> </w:t>
      </w:r>
      <w:r w:rsidRPr="005B574F">
        <w:rPr>
          <w:rFonts w:ascii="Arial" w:hAnsi="Arial"/>
          <w:b/>
          <w:color w:val="000000" w:themeColor="text1"/>
          <w:shd w:val="clear" w:color="auto" w:fill="FFFFFF"/>
        </w:rPr>
        <w:t>których mowa w </w:t>
      </w:r>
      <w:hyperlink r:id="rId7" w:history="1">
        <w:r w:rsidRPr="005B574F">
          <w:rPr>
            <w:rStyle w:val="Hipercze"/>
            <w:rFonts w:ascii="Arial" w:hAnsi="Arial"/>
            <w:b/>
            <w:color w:val="000000" w:themeColor="text1"/>
            <w:shd w:val="clear" w:color="auto" w:fill="FFFFFF"/>
          </w:rPr>
          <w:t>art. 7 ust. 1</w:t>
        </w:r>
      </w:hyperlink>
      <w:r w:rsidRPr="005B574F">
        <w:rPr>
          <w:rFonts w:ascii="Arial" w:hAnsi="Arial"/>
          <w:b/>
          <w:color w:val="000000" w:themeColor="text1"/>
          <w:shd w:val="clear" w:color="auto" w:fill="FFFFFF"/>
        </w:rPr>
        <w:t> ustawy o VAT</w:t>
      </w:r>
      <w:r w:rsidRPr="005B574F">
        <w:rPr>
          <w:rFonts w:ascii="Arial" w:hAnsi="Arial"/>
          <w:color w:val="000000" w:themeColor="text1"/>
          <w:shd w:val="clear" w:color="auto" w:fill="FFFFFF"/>
        </w:rPr>
        <w:t xml:space="preserve">; </w:t>
      </w:r>
      <w:r w:rsidRPr="005B574F">
        <w:rPr>
          <w:rFonts w:ascii="Arial" w:hAnsi="Arial"/>
          <w:color w:val="000000" w:themeColor="text1"/>
        </w:rPr>
        <w:t>np.</w:t>
      </w:r>
      <w:r w:rsidRPr="005B574F">
        <w:rPr>
          <w:rFonts w:ascii="Arial" w:hAnsi="Arial"/>
          <w:b/>
          <w:color w:val="000000" w:themeColor="text1"/>
        </w:rPr>
        <w:t xml:space="preserve"> </w:t>
      </w:r>
      <w:r w:rsidRPr="005B574F">
        <w:rPr>
          <w:rFonts w:ascii="Arial" w:hAnsi="Arial"/>
          <w:color w:val="000000" w:themeColor="text1"/>
        </w:rPr>
        <w:t>dostawa lokalu użytkowego</w:t>
      </w:r>
      <w:r w:rsidR="00AC6B0A">
        <w:rPr>
          <w:rFonts w:ascii="Arial" w:hAnsi="Arial"/>
          <w:color w:val="000000" w:themeColor="text1"/>
        </w:rPr>
        <w:t>,</w:t>
      </w:r>
      <w:r w:rsidRPr="005B574F">
        <w:rPr>
          <w:rFonts w:ascii="Arial" w:hAnsi="Arial"/>
          <w:color w:val="000000" w:themeColor="text1"/>
        </w:rPr>
        <w:t xml:space="preserve"> aport nieruchomości (w tym potencjalnie np. sieci wodociągowej)</w:t>
      </w:r>
      <w:r w:rsidR="00AC6B0A">
        <w:rPr>
          <w:rFonts w:ascii="Arial" w:hAnsi="Arial"/>
          <w:color w:val="000000" w:themeColor="text1"/>
        </w:rPr>
        <w:t xml:space="preserve">, </w:t>
      </w:r>
      <w:r w:rsidR="00AC6B0A" w:rsidRPr="00AC6B0A">
        <w:rPr>
          <w:rFonts w:ascii="Arial" w:hAnsi="Arial"/>
          <w:color w:val="000000" w:themeColor="text1"/>
        </w:rPr>
        <w:t>oddanie gruntów w użytkowanie wieczyste oraz zbycie tego prawa</w:t>
      </w:r>
      <w:r w:rsidR="00AC6B0A">
        <w:rPr>
          <w:rFonts w:ascii="Arial" w:hAnsi="Arial"/>
          <w:color w:val="000000" w:themeColor="text1"/>
        </w:rPr>
        <w:t>.</w:t>
      </w:r>
      <w:r w:rsidRPr="009013A2">
        <w:rPr>
          <w:rFonts w:ascii="Arial" w:hAnsi="Arial"/>
          <w:color w:val="000000" w:themeColor="text1"/>
        </w:rPr>
        <w:t>”</w:t>
      </w:r>
    </w:p>
    <w:p w14:paraId="0D79033E" w14:textId="77777777" w:rsidR="00AE29E1" w:rsidRPr="005B574F" w:rsidRDefault="00AE29E1" w:rsidP="005B574F">
      <w:pPr>
        <w:pStyle w:val="Akapitzlist"/>
        <w:jc w:val="both"/>
        <w:rPr>
          <w:rFonts w:ascii="Arial" w:hAnsi="Arial"/>
          <w:color w:val="000000" w:themeColor="text1"/>
        </w:rPr>
      </w:pPr>
    </w:p>
    <w:p w14:paraId="0D768547" w14:textId="15ED043C" w:rsidR="005D1494" w:rsidRPr="005B574F" w:rsidRDefault="005D1494" w:rsidP="005B574F">
      <w:pPr>
        <w:pStyle w:val="Akapitzlist"/>
        <w:numPr>
          <w:ilvl w:val="3"/>
          <w:numId w:val="11"/>
        </w:numPr>
        <w:spacing w:line="276" w:lineRule="auto"/>
        <w:ind w:left="2694" w:right="21"/>
        <w:jc w:val="both"/>
        <w:rPr>
          <w:rFonts w:ascii="Arial" w:hAnsi="Arial"/>
          <w:color w:val="000000" w:themeColor="text1"/>
        </w:rPr>
      </w:pPr>
      <w:r w:rsidRPr="009013A2">
        <w:rPr>
          <w:rFonts w:ascii="Arial" w:hAnsi="Arial"/>
          <w:color w:val="000000" w:themeColor="text1"/>
        </w:rPr>
        <w:t>„</w:t>
      </w:r>
      <w:r w:rsidRPr="005B574F">
        <w:rPr>
          <w:rFonts w:ascii="Arial" w:hAnsi="Arial"/>
          <w:b/>
          <w:color w:val="000000" w:themeColor="text1"/>
        </w:rPr>
        <w:t>GTU_12</w:t>
      </w:r>
      <w:r w:rsidRPr="005B574F">
        <w:rPr>
          <w:rFonts w:ascii="Arial" w:hAnsi="Arial"/>
          <w:color w:val="000000" w:themeColor="text1"/>
        </w:rPr>
        <w:t xml:space="preserve"> – </w:t>
      </w:r>
      <w:r w:rsidRPr="005B574F">
        <w:rPr>
          <w:rFonts w:ascii="Arial" w:hAnsi="Arial"/>
          <w:b/>
          <w:color w:val="000000" w:themeColor="text1"/>
        </w:rPr>
        <w:t>Świadczenie usług o charakterze niematerialnym</w:t>
      </w:r>
      <w:r w:rsidRPr="005B574F">
        <w:rPr>
          <w:rFonts w:ascii="Arial" w:hAnsi="Arial"/>
          <w:color w:val="000000" w:themeColor="text1"/>
        </w:rPr>
        <w:t xml:space="preserve"> – wyłącznie </w:t>
      </w:r>
      <w:r w:rsidRPr="005B574F">
        <w:rPr>
          <w:rFonts w:ascii="Arial" w:hAnsi="Arial"/>
          <w:color w:val="000000" w:themeColor="text1"/>
          <w:shd w:val="clear" w:color="auto" w:fill="FFFFFF"/>
        </w:rPr>
        <w:t>doradczych, w tym doradztwa prawnego i podatkowego oraz doradztwa związanego z zarządzaniem (PKWiU 62.02.1, 62.02.2, 66.19.91, 69.20.3, 70.22.11, 70.22.12, 70.22.13, 70.22.14, 70.22.15, 70.22.16, 70.22.3, 71.11.24, 71.11.42, 71.12.11, 71.12.31, 74.90.13, 74.90.15, 74.90.19), w zakresie rachunkowości i audytu finansowego (PKWiU 69.20.1, 69.20.2), prawnych (PKWiU 69.1), zarządczych (PKWiU 62.03, 63.11.12, 66.11.19, 66.30, 68.32, 69.20.4, 70.22.17, 70.22.2, 90.02.19.1), firm centralnych (PKWiU 70.1), marketingowych lub reklamowych (PKWiU 73.1), badania rynku i opinii publicznej (PKWiU 73.2), w zakresie badań naukowych i prac rozwojowych (PKWiU 72) oraz w zakresie pozaszkolnych form edukacji (PKWiU 85.5).</w:t>
      </w:r>
      <w:r w:rsidRPr="009013A2">
        <w:rPr>
          <w:rFonts w:ascii="Arial" w:hAnsi="Arial"/>
          <w:color w:val="000000" w:themeColor="text1"/>
          <w:shd w:val="clear" w:color="auto" w:fill="FFFFFF"/>
        </w:rPr>
        <w:t>”</w:t>
      </w:r>
    </w:p>
    <w:p w14:paraId="5B700C75" w14:textId="77777777" w:rsidR="005D1494" w:rsidRPr="005B574F" w:rsidRDefault="005D1494" w:rsidP="005B574F">
      <w:pPr>
        <w:pStyle w:val="Akapitzlist"/>
        <w:spacing w:line="276" w:lineRule="auto"/>
        <w:ind w:left="2694" w:right="21"/>
        <w:jc w:val="both"/>
        <w:rPr>
          <w:rFonts w:ascii="Arial" w:hAnsi="Arial"/>
          <w:color w:val="000000" w:themeColor="text1"/>
        </w:rPr>
      </w:pPr>
    </w:p>
    <w:p w14:paraId="63C07A4E" w14:textId="6A48E900" w:rsidR="005D1494" w:rsidRPr="009013A2" w:rsidRDefault="005D1494" w:rsidP="005B574F">
      <w:pPr>
        <w:pStyle w:val="Akapitzlist"/>
        <w:numPr>
          <w:ilvl w:val="2"/>
          <w:numId w:val="11"/>
        </w:numPr>
        <w:spacing w:line="276" w:lineRule="auto"/>
        <w:jc w:val="both"/>
        <w:rPr>
          <w:rFonts w:ascii="Arial" w:hAnsi="Arial"/>
          <w:color w:val="000000" w:themeColor="text1"/>
        </w:rPr>
      </w:pPr>
      <w:r w:rsidRPr="009013A2">
        <w:rPr>
          <w:rFonts w:ascii="Arial" w:hAnsi="Arial"/>
          <w:color w:val="000000" w:themeColor="text1"/>
        </w:rPr>
        <w:t xml:space="preserve"> w punkcie 3.2.1. „Przypadki braku obowiązku stosowania kodów GTU” pod zdaniem „Gmina nie stosuje oznaczeń GTU, jeżeli transakcja dotyczy:” dodaje się podpunkt:</w:t>
      </w:r>
    </w:p>
    <w:p w14:paraId="0A1FA5BB" w14:textId="77777777" w:rsidR="00F66C32" w:rsidRPr="009013A2" w:rsidRDefault="00F66C32" w:rsidP="005B574F">
      <w:pPr>
        <w:pStyle w:val="Akapitzlist"/>
        <w:spacing w:line="276" w:lineRule="auto"/>
        <w:ind w:left="1835"/>
        <w:jc w:val="both"/>
        <w:rPr>
          <w:rFonts w:ascii="Arial" w:hAnsi="Arial"/>
          <w:color w:val="000000" w:themeColor="text1"/>
        </w:rPr>
      </w:pPr>
    </w:p>
    <w:p w14:paraId="16092109" w14:textId="60C02DA9" w:rsidR="005D1494" w:rsidRPr="009013A2" w:rsidRDefault="005D1494" w:rsidP="005B574F">
      <w:pPr>
        <w:pStyle w:val="Akapitzlist"/>
        <w:numPr>
          <w:ilvl w:val="0"/>
          <w:numId w:val="26"/>
        </w:numPr>
        <w:spacing w:line="276" w:lineRule="auto"/>
        <w:ind w:left="2694" w:hanging="567"/>
        <w:jc w:val="both"/>
        <w:rPr>
          <w:rFonts w:ascii="Arial" w:hAnsi="Arial"/>
          <w:color w:val="000000" w:themeColor="text1"/>
        </w:rPr>
      </w:pPr>
      <w:r w:rsidRPr="009013A2">
        <w:rPr>
          <w:rFonts w:ascii="Arial" w:hAnsi="Arial"/>
          <w:color w:val="000000" w:themeColor="text1"/>
        </w:rPr>
        <w:t>„transakcji posiadających oznaczenie RO (</w:t>
      </w:r>
      <w:r w:rsidRPr="005B574F">
        <w:rPr>
          <w:rFonts w:ascii="Arial" w:hAnsi="Arial"/>
          <w:color w:val="000000" w:themeColor="text1"/>
        </w:rPr>
        <w:t xml:space="preserve">raport zbiorczy z kas fiskalnych) oraz </w:t>
      </w:r>
      <w:r w:rsidRPr="005B574F">
        <w:rPr>
          <w:rFonts w:ascii="Arial" w:hAnsi="Arial"/>
          <w:b/>
          <w:bCs/>
          <w:color w:val="000000" w:themeColor="text1"/>
        </w:rPr>
        <w:t>WEW</w:t>
      </w:r>
      <w:r w:rsidRPr="005B574F">
        <w:rPr>
          <w:rFonts w:ascii="Arial" w:hAnsi="Arial"/>
          <w:color w:val="000000" w:themeColor="text1"/>
        </w:rPr>
        <w:t xml:space="preserve"> (dok. wewnętrzny).</w:t>
      </w:r>
      <w:r w:rsidRPr="009013A2">
        <w:rPr>
          <w:rFonts w:ascii="Arial" w:hAnsi="Arial"/>
          <w:color w:val="000000" w:themeColor="text1"/>
        </w:rPr>
        <w:t>”</w:t>
      </w:r>
    </w:p>
    <w:p w14:paraId="47A48FF9" w14:textId="77777777" w:rsidR="00FD5A93" w:rsidRPr="009013A2" w:rsidRDefault="00FD5A93" w:rsidP="005B574F">
      <w:pPr>
        <w:pStyle w:val="Akapitzlist"/>
        <w:spacing w:line="276" w:lineRule="auto"/>
        <w:ind w:left="2694"/>
        <w:jc w:val="both"/>
        <w:rPr>
          <w:rFonts w:ascii="Arial" w:hAnsi="Arial"/>
          <w:color w:val="000000" w:themeColor="text1"/>
        </w:rPr>
      </w:pPr>
    </w:p>
    <w:p w14:paraId="260A4810" w14:textId="482C1BD1" w:rsidR="00FD5A93" w:rsidRPr="009013A2" w:rsidRDefault="00FD5A93" w:rsidP="005B574F">
      <w:pPr>
        <w:pStyle w:val="Akapitzlist"/>
        <w:numPr>
          <w:ilvl w:val="2"/>
          <w:numId w:val="11"/>
        </w:numPr>
        <w:spacing w:line="276" w:lineRule="auto"/>
        <w:jc w:val="both"/>
        <w:rPr>
          <w:rFonts w:ascii="Arial" w:hAnsi="Arial"/>
          <w:color w:val="000000" w:themeColor="text1"/>
        </w:rPr>
      </w:pPr>
      <w:r w:rsidRPr="009013A2">
        <w:rPr>
          <w:rFonts w:ascii="Arial" w:hAnsi="Arial"/>
          <w:color w:val="000000" w:themeColor="text1"/>
        </w:rPr>
        <w:t xml:space="preserve"> w punkcie 4.1.1. „Sprzedaż za pomocą kas rejestrujących (RO)” dodaje się zapis:</w:t>
      </w:r>
    </w:p>
    <w:p w14:paraId="409D3D04" w14:textId="5F340747" w:rsidR="00FD5A93" w:rsidRPr="009013A2" w:rsidRDefault="00FD5A93" w:rsidP="005B574F">
      <w:pPr>
        <w:pStyle w:val="Akapitzlist"/>
        <w:spacing w:line="276" w:lineRule="auto"/>
        <w:ind w:left="1835"/>
        <w:jc w:val="both"/>
        <w:rPr>
          <w:rFonts w:ascii="Arial" w:hAnsi="Arial"/>
          <w:color w:val="000000" w:themeColor="text1"/>
        </w:rPr>
      </w:pPr>
    </w:p>
    <w:p w14:paraId="6A080D46" w14:textId="696BABA7" w:rsidR="00FD5A93" w:rsidRPr="009013A2" w:rsidRDefault="00FD5A93" w:rsidP="005B574F">
      <w:pPr>
        <w:pStyle w:val="Akapitzlist"/>
        <w:spacing w:line="276" w:lineRule="auto"/>
        <w:ind w:left="2160"/>
        <w:jc w:val="both"/>
        <w:rPr>
          <w:rFonts w:ascii="Arial" w:hAnsi="Arial"/>
          <w:color w:val="000000" w:themeColor="text1"/>
        </w:rPr>
      </w:pPr>
      <w:r w:rsidRPr="009013A2">
        <w:rPr>
          <w:rFonts w:ascii="Arial" w:hAnsi="Arial"/>
          <w:color w:val="000000" w:themeColor="text1"/>
        </w:rPr>
        <w:t>„Począwszy od rozliczenia za lipiec 2021 r., jeśli dana faktura jest już ujęta w</w:t>
      </w:r>
      <w:r w:rsidR="00ED10C9">
        <w:rPr>
          <w:rFonts w:ascii="Arial" w:hAnsi="Arial"/>
          <w:color w:val="000000" w:themeColor="text1"/>
        </w:rPr>
        <w:t> </w:t>
      </w:r>
      <w:r w:rsidRPr="009013A2">
        <w:rPr>
          <w:rFonts w:ascii="Arial" w:hAnsi="Arial"/>
          <w:color w:val="000000" w:themeColor="text1"/>
        </w:rPr>
        <w:t>raporcie z kasy albo jako bilet za przejazd autostradą / za transport pasażerski, to nie musi być ona wykazywana osobno (dodatkowo) w ewidencji VAT jako „zwykła” faktura.</w:t>
      </w:r>
    </w:p>
    <w:p w14:paraId="53DEB0D8" w14:textId="213333B3" w:rsidR="00FD5A93" w:rsidRPr="009013A2" w:rsidRDefault="00FD5A93" w:rsidP="005B574F">
      <w:pPr>
        <w:pStyle w:val="Akapitzlist"/>
        <w:spacing w:line="276" w:lineRule="auto"/>
        <w:ind w:left="1835"/>
        <w:jc w:val="both"/>
        <w:rPr>
          <w:rFonts w:ascii="Arial" w:hAnsi="Arial"/>
          <w:color w:val="000000" w:themeColor="text1"/>
        </w:rPr>
      </w:pPr>
    </w:p>
    <w:p w14:paraId="44531CB7" w14:textId="5B0E0182" w:rsidR="00FD5A93" w:rsidRPr="009013A2" w:rsidRDefault="00FD5A93" w:rsidP="005B574F">
      <w:pPr>
        <w:pStyle w:val="Akapitzlist"/>
        <w:spacing w:line="276" w:lineRule="auto"/>
        <w:ind w:left="2160"/>
        <w:jc w:val="both"/>
        <w:rPr>
          <w:rFonts w:ascii="Arial" w:hAnsi="Arial"/>
          <w:color w:val="000000" w:themeColor="text1"/>
        </w:rPr>
      </w:pPr>
      <w:r w:rsidRPr="009013A2">
        <w:rPr>
          <w:rFonts w:ascii="Arial" w:hAnsi="Arial"/>
          <w:color w:val="000000" w:themeColor="text1"/>
        </w:rPr>
        <w:t>Podobnie,</w:t>
      </w:r>
      <w:r w:rsidR="006E5113">
        <w:rPr>
          <w:rFonts w:ascii="Arial" w:hAnsi="Arial"/>
          <w:color w:val="000000" w:themeColor="text1"/>
        </w:rPr>
        <w:t xml:space="preserve"> p</w:t>
      </w:r>
      <w:r w:rsidR="006E5113" w:rsidRPr="00B02397">
        <w:rPr>
          <w:rFonts w:ascii="Arial" w:hAnsi="Arial"/>
          <w:color w:val="000000" w:themeColor="text1"/>
        </w:rPr>
        <w:t>ocząwszy od rozliczenia za lipiec 2021 r.,</w:t>
      </w:r>
      <w:r w:rsidRPr="009013A2">
        <w:rPr>
          <w:rFonts w:ascii="Arial" w:hAnsi="Arial"/>
          <w:color w:val="000000" w:themeColor="text1"/>
        </w:rPr>
        <w:t xml:space="preserve"> jeśli tzw. faktura uproszczona („paragon fiskalny uznany za fakturę” o wartości max 450 PLN / 100 EUR) została ujęta w ewidencji VAT w ramach zbiorczego raportu z kasy fiskalnej (czyli w praktyce: w ramach dokumentu z oznaczeniem „RO”), nie</w:t>
      </w:r>
      <w:r w:rsidR="00AC6B0A">
        <w:rPr>
          <w:rFonts w:ascii="Arial" w:hAnsi="Arial"/>
          <w:color w:val="000000" w:themeColor="text1"/>
        </w:rPr>
        <w:t> </w:t>
      </w:r>
      <w:r w:rsidRPr="009013A2">
        <w:rPr>
          <w:rFonts w:ascii="Arial" w:hAnsi="Arial"/>
          <w:color w:val="000000" w:themeColor="text1"/>
        </w:rPr>
        <w:t>wykazuje się takiej faktury uproszczonej w ewidencji VAT jako osobny (pojedynczy) dokument źródłowy.”</w:t>
      </w:r>
    </w:p>
    <w:p w14:paraId="6EA73308" w14:textId="661EDF81" w:rsidR="000F64AE" w:rsidRPr="009013A2" w:rsidRDefault="000F64AE" w:rsidP="005B574F">
      <w:pPr>
        <w:pStyle w:val="Akapitzlist"/>
        <w:spacing w:line="276" w:lineRule="auto"/>
        <w:ind w:left="2160"/>
        <w:jc w:val="both"/>
        <w:rPr>
          <w:rFonts w:ascii="Arial" w:hAnsi="Arial"/>
          <w:color w:val="000000" w:themeColor="text1"/>
        </w:rPr>
      </w:pPr>
    </w:p>
    <w:p w14:paraId="79950BB3" w14:textId="3A5FFD7D" w:rsidR="00FD5A93" w:rsidRPr="009013A2" w:rsidRDefault="00FD5A93" w:rsidP="005B574F">
      <w:pPr>
        <w:pStyle w:val="Akapitzlist"/>
        <w:numPr>
          <w:ilvl w:val="2"/>
          <w:numId w:val="11"/>
        </w:numPr>
        <w:spacing w:line="276" w:lineRule="auto"/>
        <w:jc w:val="both"/>
        <w:rPr>
          <w:rFonts w:ascii="Arial" w:hAnsi="Arial"/>
          <w:color w:val="000000" w:themeColor="text1"/>
        </w:rPr>
      </w:pPr>
      <w:r w:rsidRPr="009013A2">
        <w:rPr>
          <w:rFonts w:ascii="Arial" w:hAnsi="Arial"/>
          <w:color w:val="000000" w:themeColor="text1"/>
        </w:rPr>
        <w:t xml:space="preserve"> w punkcie 4.2.3. „Dokumenty wewnętrzne (oznaczenie WEW)” dodaje się zapis:</w:t>
      </w:r>
    </w:p>
    <w:p w14:paraId="0F8C68E6" w14:textId="18A0F3C8" w:rsidR="00FD5A93" w:rsidRPr="009013A2" w:rsidRDefault="00FD5A93" w:rsidP="005B574F">
      <w:pPr>
        <w:pStyle w:val="Akapitzlist"/>
        <w:spacing w:line="276" w:lineRule="auto"/>
        <w:ind w:left="1835"/>
        <w:jc w:val="both"/>
        <w:rPr>
          <w:rFonts w:ascii="Arial" w:hAnsi="Arial"/>
          <w:color w:val="000000" w:themeColor="text1"/>
        </w:rPr>
      </w:pPr>
    </w:p>
    <w:p w14:paraId="42E996A6" w14:textId="435CAD6C" w:rsidR="00FD5A93" w:rsidRPr="009013A2" w:rsidRDefault="00FD5A93" w:rsidP="005B574F">
      <w:pPr>
        <w:pStyle w:val="Akapitzlist"/>
        <w:spacing w:line="276" w:lineRule="auto"/>
        <w:ind w:left="2160"/>
        <w:jc w:val="both"/>
        <w:rPr>
          <w:rFonts w:ascii="Arial" w:hAnsi="Arial"/>
          <w:color w:val="000000" w:themeColor="text1"/>
        </w:rPr>
      </w:pPr>
      <w:r w:rsidRPr="009013A2">
        <w:rPr>
          <w:rFonts w:ascii="Arial" w:hAnsi="Arial"/>
          <w:color w:val="000000" w:themeColor="text1"/>
        </w:rPr>
        <w:t xml:space="preserve">„Począwszy od rozliczenia za lipiec 2021 r., również zmniejszenie wartości VAT naliczonego wynikające z korekty (zmniejszenia wartości) pierwotnej transakcji, może być wykazane w ewidencji na podstawie dokumentu wewnętrznego oznaczonego </w:t>
      </w:r>
      <w:r w:rsidRPr="005B574F">
        <w:rPr>
          <w:rFonts w:ascii="Arial" w:hAnsi="Arial"/>
          <w:b/>
          <w:color w:val="000000" w:themeColor="text1"/>
        </w:rPr>
        <w:t>WEW</w:t>
      </w:r>
      <w:r w:rsidRPr="009013A2">
        <w:rPr>
          <w:rFonts w:ascii="Arial" w:hAnsi="Arial"/>
          <w:color w:val="000000" w:themeColor="text1"/>
        </w:rPr>
        <w:t>. Dotyczy to sytuacji, w której nabywca nie</w:t>
      </w:r>
      <w:r w:rsidR="00AC6B0A">
        <w:rPr>
          <w:rFonts w:ascii="Arial" w:hAnsi="Arial"/>
          <w:color w:val="000000" w:themeColor="text1"/>
        </w:rPr>
        <w:t> </w:t>
      </w:r>
      <w:r w:rsidRPr="009013A2">
        <w:rPr>
          <w:rFonts w:ascii="Arial" w:hAnsi="Arial"/>
          <w:color w:val="000000" w:themeColor="text1"/>
        </w:rPr>
        <w:t>otrzymał faktury korygującej dokumentującej dane zdarzenie do dnia przesłania ewidencji organom podatkowym.”</w:t>
      </w:r>
    </w:p>
    <w:p w14:paraId="5E679FBA" w14:textId="486788EC" w:rsidR="00FD5A93" w:rsidRPr="009013A2" w:rsidRDefault="00FD5A93" w:rsidP="005B574F">
      <w:pPr>
        <w:pStyle w:val="Akapitzlist"/>
        <w:spacing w:line="276" w:lineRule="auto"/>
        <w:ind w:left="2160"/>
        <w:jc w:val="both"/>
        <w:rPr>
          <w:rFonts w:ascii="Arial" w:hAnsi="Arial"/>
          <w:color w:val="000000" w:themeColor="text1"/>
        </w:rPr>
      </w:pPr>
    </w:p>
    <w:p w14:paraId="46FCA438" w14:textId="0398A86A" w:rsidR="00FD5A93" w:rsidRPr="009013A2" w:rsidRDefault="00FD5A93" w:rsidP="005B574F">
      <w:pPr>
        <w:pStyle w:val="Akapitzlist"/>
        <w:numPr>
          <w:ilvl w:val="2"/>
          <w:numId w:val="11"/>
        </w:numPr>
        <w:spacing w:line="276" w:lineRule="auto"/>
        <w:jc w:val="both"/>
        <w:rPr>
          <w:rFonts w:ascii="Arial" w:hAnsi="Arial"/>
          <w:color w:val="000000" w:themeColor="text1"/>
        </w:rPr>
      </w:pPr>
      <w:r w:rsidRPr="009013A2">
        <w:rPr>
          <w:rFonts w:ascii="Arial" w:hAnsi="Arial"/>
          <w:color w:val="000000" w:themeColor="text1"/>
        </w:rPr>
        <w:t xml:space="preserve"> </w:t>
      </w:r>
      <w:r w:rsidR="00B66EB7" w:rsidRPr="009013A2">
        <w:rPr>
          <w:rFonts w:ascii="Arial" w:hAnsi="Arial"/>
          <w:color w:val="000000" w:themeColor="text1"/>
        </w:rPr>
        <w:t>Zmienia się treść punktu</w:t>
      </w:r>
      <w:r w:rsidRPr="009013A2">
        <w:rPr>
          <w:rFonts w:ascii="Arial" w:hAnsi="Arial"/>
          <w:color w:val="000000" w:themeColor="text1"/>
        </w:rPr>
        <w:t xml:space="preserve"> 5.1.1. „Mechanizm podzielonej płatności (oznaczenie MPP)”, </w:t>
      </w:r>
      <w:r w:rsidR="00B66EB7" w:rsidRPr="009013A2">
        <w:rPr>
          <w:rFonts w:ascii="Arial" w:hAnsi="Arial"/>
          <w:color w:val="000000" w:themeColor="text1"/>
        </w:rPr>
        <w:t>i nadaje się mu następujące brzmienie</w:t>
      </w:r>
      <w:r w:rsidRPr="009013A2">
        <w:rPr>
          <w:rFonts w:ascii="Arial" w:hAnsi="Arial"/>
          <w:color w:val="000000" w:themeColor="text1"/>
        </w:rPr>
        <w:t>:</w:t>
      </w:r>
    </w:p>
    <w:p w14:paraId="4F1B2ECC" w14:textId="60DF155C" w:rsidR="00FD5A93" w:rsidRPr="009013A2" w:rsidRDefault="00FD5A93" w:rsidP="005B574F">
      <w:pPr>
        <w:pStyle w:val="Akapitzlist"/>
        <w:spacing w:line="276" w:lineRule="auto"/>
        <w:ind w:left="1835"/>
        <w:jc w:val="both"/>
        <w:rPr>
          <w:rFonts w:ascii="Arial" w:hAnsi="Arial"/>
          <w:color w:val="000000" w:themeColor="text1"/>
        </w:rPr>
      </w:pPr>
    </w:p>
    <w:p w14:paraId="69434EAC" w14:textId="74614750" w:rsidR="00FD5A93" w:rsidRPr="009013A2" w:rsidRDefault="00FD5A93" w:rsidP="005B574F">
      <w:pPr>
        <w:pStyle w:val="Akapitzlist"/>
        <w:spacing w:line="276" w:lineRule="auto"/>
        <w:ind w:left="2160"/>
        <w:jc w:val="both"/>
        <w:rPr>
          <w:rFonts w:ascii="Arial" w:hAnsi="Arial"/>
          <w:color w:val="000000" w:themeColor="text1"/>
        </w:rPr>
      </w:pPr>
      <w:r w:rsidRPr="009013A2">
        <w:rPr>
          <w:rFonts w:ascii="Arial" w:hAnsi="Arial"/>
          <w:color w:val="000000" w:themeColor="text1"/>
        </w:rPr>
        <w:lastRenderedPageBreak/>
        <w:t xml:space="preserve">„Począwszy od rozliczenia za lipiec 2021 r. nie stosuje się oznaczenia MPP. Poniższe zapisy znajdą zastosowanie wyłącznie </w:t>
      </w:r>
      <w:r w:rsidR="00F66C32" w:rsidRPr="009013A2">
        <w:rPr>
          <w:rFonts w:ascii="Arial" w:hAnsi="Arial"/>
          <w:color w:val="000000" w:themeColor="text1"/>
        </w:rPr>
        <w:t>w przypadku korekty</w:t>
      </w:r>
      <w:r w:rsidRPr="009013A2">
        <w:rPr>
          <w:rFonts w:ascii="Arial" w:hAnsi="Arial"/>
          <w:color w:val="000000" w:themeColor="text1"/>
        </w:rPr>
        <w:t xml:space="preserve"> rozliczeń za</w:t>
      </w:r>
      <w:r w:rsidR="00F66C32" w:rsidRPr="009013A2">
        <w:rPr>
          <w:rFonts w:ascii="Arial" w:hAnsi="Arial"/>
          <w:color w:val="000000" w:themeColor="text1"/>
        </w:rPr>
        <w:t xml:space="preserve"> wcześniejsze okresy rozliczeniowe do czerwca</w:t>
      </w:r>
      <w:r w:rsidRPr="009013A2">
        <w:rPr>
          <w:rFonts w:ascii="Arial" w:hAnsi="Arial"/>
          <w:color w:val="000000" w:themeColor="text1"/>
        </w:rPr>
        <w:t xml:space="preserve"> 2021 r. włącznie.</w:t>
      </w:r>
    </w:p>
    <w:p w14:paraId="3CC05DEC" w14:textId="3ADFED78" w:rsidR="00B66EB7" w:rsidRPr="009013A2" w:rsidRDefault="00B66EB7" w:rsidP="005B574F">
      <w:pPr>
        <w:pStyle w:val="Akapitzlist"/>
        <w:spacing w:line="276" w:lineRule="auto"/>
        <w:ind w:left="2160"/>
        <w:jc w:val="both"/>
        <w:rPr>
          <w:rFonts w:ascii="Arial" w:hAnsi="Arial"/>
          <w:color w:val="000000" w:themeColor="text1"/>
        </w:rPr>
      </w:pPr>
    </w:p>
    <w:p w14:paraId="551A3615" w14:textId="5575CFDD" w:rsidR="00B66EB7" w:rsidRPr="005B574F" w:rsidRDefault="00B66EB7" w:rsidP="005B574F">
      <w:pPr>
        <w:pStyle w:val="Podstawowy"/>
        <w:spacing w:after="0"/>
        <w:ind w:left="2127"/>
        <w:rPr>
          <w:rFonts w:ascii="Arial" w:hAnsi="Arial" w:cs="Arial"/>
          <w:noProof/>
          <w:sz w:val="20"/>
          <w:szCs w:val="20"/>
        </w:rPr>
      </w:pPr>
      <w:r w:rsidRPr="005B574F">
        <w:rPr>
          <w:rFonts w:ascii="Arial" w:hAnsi="Arial" w:cs="Arial"/>
          <w:noProof/>
          <w:sz w:val="20"/>
          <w:szCs w:val="20"/>
        </w:rPr>
        <w:t>W przypadku sokrygowania rozliczeń za wcześniejsze okresy rozliczeniowe do</w:t>
      </w:r>
      <w:r w:rsidR="00AC6B0A">
        <w:rPr>
          <w:rFonts w:ascii="Arial" w:hAnsi="Arial" w:cs="Arial"/>
          <w:noProof/>
          <w:sz w:val="20"/>
          <w:szCs w:val="20"/>
        </w:rPr>
        <w:t> </w:t>
      </w:r>
      <w:r w:rsidRPr="005B574F">
        <w:rPr>
          <w:rFonts w:ascii="Arial" w:hAnsi="Arial" w:cs="Arial"/>
          <w:noProof/>
          <w:sz w:val="20"/>
          <w:szCs w:val="20"/>
        </w:rPr>
        <w:t>czerwca 2021 r. włącznie, Gmina stosuje oznaczenie MPP, jeśli transakcja spełnia</w:t>
      </w:r>
      <w:r w:rsidRPr="005B574F">
        <w:rPr>
          <w:rFonts w:ascii="Arial" w:hAnsi="Arial" w:cs="Arial"/>
          <w:b/>
          <w:noProof/>
          <w:sz w:val="20"/>
          <w:szCs w:val="20"/>
        </w:rPr>
        <w:t xml:space="preserve"> jednocześnie</w:t>
      </w:r>
      <w:r w:rsidRPr="005B574F">
        <w:rPr>
          <w:rFonts w:ascii="Arial" w:hAnsi="Arial" w:cs="Arial"/>
          <w:noProof/>
          <w:sz w:val="20"/>
          <w:szCs w:val="20"/>
        </w:rPr>
        <w:t xml:space="preserve"> poniższe przesłanki: </w:t>
      </w:r>
    </w:p>
    <w:p w14:paraId="6999ABA1" w14:textId="77777777" w:rsidR="00B66EB7" w:rsidRPr="005B574F" w:rsidRDefault="00B66EB7" w:rsidP="005B574F">
      <w:pPr>
        <w:pStyle w:val="Podstawowy"/>
        <w:numPr>
          <w:ilvl w:val="0"/>
          <w:numId w:val="28"/>
        </w:numPr>
        <w:spacing w:before="120" w:after="0"/>
        <w:ind w:left="2552" w:hanging="284"/>
        <w:rPr>
          <w:rFonts w:ascii="Arial" w:hAnsi="Arial" w:cs="Arial"/>
          <w:noProof/>
          <w:sz w:val="20"/>
          <w:szCs w:val="20"/>
        </w:rPr>
      </w:pPr>
      <w:r w:rsidRPr="005B574F">
        <w:rPr>
          <w:rFonts w:ascii="Arial" w:hAnsi="Arial" w:cs="Arial"/>
          <w:noProof/>
          <w:sz w:val="20"/>
          <w:szCs w:val="20"/>
        </w:rPr>
        <w:t xml:space="preserve">została udokumentowana </w:t>
      </w:r>
      <w:r w:rsidRPr="005B574F">
        <w:rPr>
          <w:rFonts w:ascii="Arial" w:hAnsi="Arial" w:cs="Arial"/>
          <w:b/>
          <w:noProof/>
          <w:sz w:val="20"/>
          <w:szCs w:val="20"/>
        </w:rPr>
        <w:t>fakturą o wartości powyżej 15 tys. PLN brutto,</w:t>
      </w:r>
      <w:r w:rsidRPr="005B574F">
        <w:rPr>
          <w:rFonts w:ascii="Arial" w:hAnsi="Arial" w:cs="Arial"/>
          <w:noProof/>
          <w:sz w:val="20"/>
          <w:szCs w:val="20"/>
        </w:rPr>
        <w:t xml:space="preserve"> </w:t>
      </w:r>
    </w:p>
    <w:p w14:paraId="475A1DD3" w14:textId="23B44401" w:rsidR="00B66EB7" w:rsidRPr="005B574F" w:rsidRDefault="00B66EB7" w:rsidP="005B574F">
      <w:pPr>
        <w:pStyle w:val="Podstawowy"/>
        <w:numPr>
          <w:ilvl w:val="0"/>
          <w:numId w:val="28"/>
        </w:numPr>
        <w:spacing w:before="120" w:after="120"/>
        <w:ind w:left="2552" w:hanging="284"/>
        <w:rPr>
          <w:rFonts w:ascii="Arial" w:hAnsi="Arial" w:cs="Arial"/>
          <w:noProof/>
          <w:sz w:val="20"/>
          <w:szCs w:val="20"/>
        </w:rPr>
      </w:pPr>
      <w:r w:rsidRPr="005B574F">
        <w:rPr>
          <w:rFonts w:ascii="Arial" w:hAnsi="Arial" w:cs="Arial"/>
          <w:noProof/>
          <w:sz w:val="20"/>
          <w:szCs w:val="20"/>
        </w:rPr>
        <w:t xml:space="preserve">dotyczy (przynajmniej w części) towarów / usług z </w:t>
      </w:r>
      <w:r w:rsidRPr="005B574F">
        <w:rPr>
          <w:rFonts w:ascii="Arial" w:hAnsi="Arial" w:cs="Arial"/>
          <w:b/>
          <w:noProof/>
          <w:sz w:val="20"/>
          <w:szCs w:val="20"/>
        </w:rPr>
        <w:t>załącznika nr 15 do</w:t>
      </w:r>
      <w:r w:rsidR="00AC6B0A">
        <w:rPr>
          <w:rFonts w:ascii="Arial" w:hAnsi="Arial" w:cs="Arial"/>
          <w:b/>
          <w:noProof/>
          <w:sz w:val="20"/>
          <w:szCs w:val="20"/>
        </w:rPr>
        <w:t> </w:t>
      </w:r>
      <w:r w:rsidRPr="005B574F">
        <w:rPr>
          <w:rFonts w:ascii="Arial" w:hAnsi="Arial" w:cs="Arial"/>
          <w:b/>
          <w:noProof/>
          <w:sz w:val="20"/>
          <w:szCs w:val="20"/>
        </w:rPr>
        <w:t>ustawy o VAT</w:t>
      </w:r>
      <w:r w:rsidRPr="005B574F">
        <w:rPr>
          <w:rFonts w:ascii="Arial" w:hAnsi="Arial" w:cs="Arial"/>
          <w:noProof/>
          <w:sz w:val="20"/>
          <w:szCs w:val="20"/>
        </w:rPr>
        <w:t xml:space="preserve"> (stanowiącym załącznik nr 2 do niniejszej instrukcji).</w:t>
      </w:r>
    </w:p>
    <w:p w14:paraId="6736F56D" w14:textId="4DB32B99" w:rsidR="00B66EB7" w:rsidRPr="005B574F" w:rsidRDefault="00B66EB7" w:rsidP="005B574F">
      <w:pPr>
        <w:pStyle w:val="Podstawowy"/>
        <w:ind w:left="2127"/>
        <w:rPr>
          <w:rFonts w:ascii="Arial" w:hAnsi="Arial" w:cs="Arial"/>
          <w:noProof/>
          <w:sz w:val="20"/>
          <w:szCs w:val="20"/>
        </w:rPr>
      </w:pPr>
      <w:r w:rsidRPr="005B574F">
        <w:rPr>
          <w:rFonts w:ascii="Arial" w:hAnsi="Arial" w:cs="Arial"/>
          <w:noProof/>
          <w:sz w:val="20"/>
          <w:szCs w:val="20"/>
        </w:rPr>
        <w:t>W takim przypadku Gmina obligatoryjnie stosuje oznaczenie MPP nawet wtedy, gdy przynajmniej tylko jedna pozycja na fakturze obejmuje dostawę towarów lub świadczenie usług, o których mowa w załączniku nr 15 do ustawy o VAT (niezależnie od wartości tej pozycji), a kwota należności ogółem z faktury stanowi kwotę, o której mowa w art. 19 ustawy - Prawo przedsiębiorców (na moment sporządzania instrukcji kwota ta przekracza wartość 15.000 PLN brutto).</w:t>
      </w:r>
    </w:p>
    <w:p w14:paraId="42724544" w14:textId="55A1915C" w:rsidR="00B66EB7" w:rsidRPr="005B574F" w:rsidRDefault="00B66EB7" w:rsidP="005B574F">
      <w:pPr>
        <w:pStyle w:val="Podstawowy"/>
        <w:ind w:left="2127"/>
        <w:rPr>
          <w:rFonts w:ascii="Arial" w:hAnsi="Arial" w:cs="Arial"/>
          <w:i/>
          <w:noProof/>
          <w:sz w:val="20"/>
          <w:szCs w:val="20"/>
        </w:rPr>
      </w:pPr>
      <w:r w:rsidRPr="005B574F">
        <w:rPr>
          <w:rFonts w:ascii="Arial" w:hAnsi="Arial" w:cs="Arial"/>
          <w:b/>
          <w:i/>
          <w:sz w:val="20"/>
          <w:szCs w:val="20"/>
        </w:rPr>
        <w:t>UWAGA!</w:t>
      </w:r>
      <w:r w:rsidRPr="005B574F">
        <w:rPr>
          <w:rFonts w:ascii="Arial" w:hAnsi="Arial" w:cs="Arial"/>
          <w:i/>
          <w:sz w:val="20"/>
          <w:szCs w:val="20"/>
        </w:rPr>
        <w:t xml:space="preserve"> </w:t>
      </w:r>
      <w:r w:rsidRPr="005B574F">
        <w:rPr>
          <w:rFonts w:ascii="Arial" w:hAnsi="Arial" w:cs="Arial"/>
          <w:i/>
          <w:noProof/>
          <w:sz w:val="20"/>
          <w:szCs w:val="20"/>
          <w:u w:val="single"/>
        </w:rPr>
        <w:t>Oznaczenie MPP dotyczy wyłącznie transakcji objętej obowiązkiem stosowania mechanizmu podzielonej płatności</w:t>
      </w:r>
      <w:r w:rsidRPr="005B574F">
        <w:rPr>
          <w:rFonts w:ascii="Arial" w:hAnsi="Arial" w:cs="Arial"/>
          <w:i/>
          <w:noProof/>
          <w:sz w:val="20"/>
          <w:szCs w:val="20"/>
        </w:rPr>
        <w:t xml:space="preserve"> – nie należy go zatem stosować do faktur sprzedaży, w których Gmina dobrowolnie zawarła informację o</w:t>
      </w:r>
      <w:r w:rsidR="00ED10C9">
        <w:rPr>
          <w:rFonts w:ascii="Arial" w:hAnsi="Arial" w:cs="Arial"/>
          <w:i/>
          <w:noProof/>
          <w:sz w:val="20"/>
          <w:szCs w:val="20"/>
        </w:rPr>
        <w:t> </w:t>
      </w:r>
      <w:r w:rsidRPr="005B574F">
        <w:rPr>
          <w:rFonts w:ascii="Arial" w:hAnsi="Arial" w:cs="Arial"/>
          <w:i/>
          <w:noProof/>
          <w:sz w:val="20"/>
          <w:szCs w:val="20"/>
        </w:rPr>
        <w:t>płatności mechanizmem / faktur, które nabywca dobrowolnie opłaca za</w:t>
      </w:r>
      <w:r w:rsidR="00AC6B0A">
        <w:rPr>
          <w:rFonts w:ascii="Arial" w:hAnsi="Arial" w:cs="Arial"/>
          <w:i/>
          <w:noProof/>
          <w:sz w:val="20"/>
          <w:szCs w:val="20"/>
        </w:rPr>
        <w:t> </w:t>
      </w:r>
      <w:r w:rsidRPr="005B574F">
        <w:rPr>
          <w:rFonts w:ascii="Arial" w:hAnsi="Arial" w:cs="Arial"/>
          <w:i/>
          <w:noProof/>
          <w:sz w:val="20"/>
          <w:szCs w:val="20"/>
        </w:rPr>
        <w:t xml:space="preserve">pomocą mechanizmu. </w:t>
      </w:r>
    </w:p>
    <w:p w14:paraId="34D82668" w14:textId="32525CB3" w:rsidR="00B66EB7" w:rsidRPr="005B574F" w:rsidRDefault="00B66EB7" w:rsidP="005B574F">
      <w:pPr>
        <w:pStyle w:val="Podstawowy"/>
        <w:ind w:left="2127"/>
        <w:rPr>
          <w:rFonts w:ascii="Arial" w:hAnsi="Arial" w:cs="Arial"/>
          <w:i/>
          <w:noProof/>
          <w:sz w:val="20"/>
          <w:szCs w:val="20"/>
        </w:rPr>
      </w:pPr>
      <w:r w:rsidRPr="005B574F">
        <w:rPr>
          <w:rFonts w:ascii="Arial" w:hAnsi="Arial" w:cs="Arial"/>
          <w:i/>
          <w:noProof/>
          <w:sz w:val="20"/>
          <w:szCs w:val="20"/>
          <w:u w:val="single"/>
        </w:rPr>
        <w:t>Zastosowanie oznaczenia MPP niezasadnie</w:t>
      </w:r>
      <w:r w:rsidRPr="005B574F">
        <w:rPr>
          <w:rFonts w:ascii="Arial" w:hAnsi="Arial" w:cs="Arial"/>
          <w:i/>
          <w:noProof/>
          <w:sz w:val="20"/>
          <w:szCs w:val="20"/>
        </w:rPr>
        <w:t xml:space="preserve"> (tj. w odniesieniu do transakcji, która nie była objęta obowiązkowym mechanizmem podzielonej płatności, nawet jeśli faktycznie płatność uiszczona została w ten sposób) jest </w:t>
      </w:r>
      <w:r w:rsidRPr="005B574F">
        <w:rPr>
          <w:rFonts w:ascii="Arial" w:hAnsi="Arial" w:cs="Arial"/>
          <w:i/>
          <w:noProof/>
          <w:sz w:val="20"/>
          <w:szCs w:val="20"/>
          <w:u w:val="single"/>
        </w:rPr>
        <w:t>nieprawidłowością, mogącą potencjalnie skutkować wezwaniem Gminy do</w:t>
      </w:r>
      <w:r w:rsidR="00AC6B0A">
        <w:rPr>
          <w:rFonts w:ascii="Arial" w:hAnsi="Arial" w:cs="Arial"/>
          <w:i/>
          <w:noProof/>
          <w:sz w:val="20"/>
          <w:szCs w:val="20"/>
          <w:u w:val="single"/>
        </w:rPr>
        <w:t> </w:t>
      </w:r>
      <w:r w:rsidRPr="005B574F">
        <w:rPr>
          <w:rFonts w:ascii="Arial" w:hAnsi="Arial" w:cs="Arial"/>
          <w:i/>
          <w:noProof/>
          <w:sz w:val="20"/>
          <w:szCs w:val="20"/>
          <w:u w:val="single"/>
        </w:rPr>
        <w:t>korekty pliku JPK_V7M, a docelowo nawet nałożenia sankcji</w:t>
      </w:r>
      <w:r w:rsidRPr="005B574F">
        <w:rPr>
          <w:rFonts w:ascii="Arial" w:hAnsi="Arial" w:cs="Arial"/>
          <w:i/>
          <w:noProof/>
          <w:sz w:val="20"/>
          <w:szCs w:val="20"/>
        </w:rPr>
        <w:t>.”</w:t>
      </w:r>
    </w:p>
    <w:p w14:paraId="03884FE3" w14:textId="15F05B3F" w:rsidR="000F64AE" w:rsidRPr="009013A2" w:rsidRDefault="00FD5A93" w:rsidP="005B574F">
      <w:pPr>
        <w:pStyle w:val="Akapitzlist"/>
        <w:numPr>
          <w:ilvl w:val="2"/>
          <w:numId w:val="11"/>
        </w:numPr>
        <w:spacing w:line="276" w:lineRule="auto"/>
        <w:jc w:val="both"/>
        <w:rPr>
          <w:rFonts w:ascii="Arial" w:hAnsi="Arial"/>
          <w:color w:val="000000" w:themeColor="text1"/>
        </w:rPr>
      </w:pPr>
      <w:r w:rsidRPr="009013A2">
        <w:rPr>
          <w:rFonts w:ascii="Arial" w:hAnsi="Arial"/>
          <w:color w:val="000000" w:themeColor="text1"/>
        </w:rPr>
        <w:t xml:space="preserve">w punkcie 5.1.2. „Powiązania z innymi podmiotami (oznaczenie TP)” </w:t>
      </w:r>
      <w:r w:rsidR="000F64AE" w:rsidRPr="009013A2">
        <w:rPr>
          <w:rFonts w:ascii="Arial" w:hAnsi="Arial"/>
          <w:color w:val="000000" w:themeColor="text1"/>
        </w:rPr>
        <w:t xml:space="preserve">zmienia się </w:t>
      </w:r>
      <w:r w:rsidR="00760CC7">
        <w:rPr>
          <w:rFonts w:ascii="Arial" w:hAnsi="Arial"/>
          <w:color w:val="000000" w:themeColor="text1"/>
        </w:rPr>
        <w:t>treść pierwszego zdania i nadaje się</w:t>
      </w:r>
      <w:r w:rsidR="000F64AE" w:rsidRPr="009013A2">
        <w:rPr>
          <w:rFonts w:ascii="Arial" w:hAnsi="Arial"/>
          <w:color w:val="000000" w:themeColor="text1"/>
        </w:rPr>
        <w:t xml:space="preserve"> mu </w:t>
      </w:r>
      <w:r w:rsidR="00760CC7">
        <w:rPr>
          <w:rFonts w:ascii="Arial" w:hAnsi="Arial"/>
          <w:color w:val="000000" w:themeColor="text1"/>
        </w:rPr>
        <w:t>następujące brzmienie</w:t>
      </w:r>
      <w:r w:rsidR="000F64AE" w:rsidRPr="009013A2">
        <w:rPr>
          <w:rFonts w:ascii="Arial" w:hAnsi="Arial"/>
          <w:color w:val="000000" w:themeColor="text1"/>
        </w:rPr>
        <w:t xml:space="preserve">: </w:t>
      </w:r>
    </w:p>
    <w:p w14:paraId="35042DFB" w14:textId="77777777" w:rsidR="000F64AE" w:rsidRPr="009013A2" w:rsidRDefault="000F64AE" w:rsidP="005B574F">
      <w:pPr>
        <w:spacing w:line="276" w:lineRule="auto"/>
        <w:jc w:val="both"/>
        <w:rPr>
          <w:rFonts w:ascii="Arial" w:hAnsi="Arial"/>
          <w:color w:val="000000" w:themeColor="text1"/>
        </w:rPr>
      </w:pPr>
    </w:p>
    <w:p w14:paraId="543A14A1" w14:textId="695AD980" w:rsidR="00FD5A93" w:rsidRPr="009013A2" w:rsidRDefault="000F64AE" w:rsidP="005B574F">
      <w:pPr>
        <w:spacing w:line="276" w:lineRule="auto"/>
        <w:ind w:left="2160"/>
        <w:jc w:val="both"/>
        <w:rPr>
          <w:rFonts w:ascii="Arial" w:hAnsi="Arial"/>
          <w:color w:val="000000" w:themeColor="text1"/>
        </w:rPr>
      </w:pPr>
      <w:r w:rsidRPr="009013A2">
        <w:rPr>
          <w:rFonts w:ascii="Arial" w:hAnsi="Arial"/>
          <w:color w:val="000000" w:themeColor="text1"/>
        </w:rPr>
        <w:t>„Jeśli sprzedaż została zrealizowana na rzecz podmiotów powiązanych, Gmina stosuje oznaczenie TP</w:t>
      </w:r>
      <w:r w:rsidR="0058081B">
        <w:rPr>
          <w:rFonts w:ascii="Arial" w:hAnsi="Arial"/>
          <w:color w:val="000000" w:themeColor="text1"/>
        </w:rPr>
        <w:t xml:space="preserve">, przy czym w odniesieniu do transakcji, które nastąpiły od 1 lipca 2021 r. Gmina stosuje oznaczenie TP </w:t>
      </w:r>
      <w:r w:rsidRPr="009013A2">
        <w:rPr>
          <w:rFonts w:ascii="Arial" w:hAnsi="Arial"/>
          <w:color w:val="000000" w:themeColor="text1"/>
        </w:rPr>
        <w:t xml:space="preserve">za wyjątkiem </w:t>
      </w:r>
      <w:r w:rsidR="001D006C" w:rsidRPr="001D006C">
        <w:rPr>
          <w:rFonts w:ascii="Arial" w:hAnsi="Arial"/>
          <w:color w:val="000000" w:themeColor="text1"/>
        </w:rPr>
        <w:t>gdy powiązania między nabywcą a</w:t>
      </w:r>
      <w:r w:rsidR="001D006C">
        <w:rPr>
          <w:rFonts w:ascii="Arial" w:hAnsi="Arial"/>
          <w:color w:val="000000" w:themeColor="text1"/>
        </w:rPr>
        <w:t> </w:t>
      </w:r>
      <w:r w:rsidR="001D006C" w:rsidRPr="001D006C">
        <w:rPr>
          <w:rFonts w:ascii="Arial" w:hAnsi="Arial"/>
          <w:color w:val="000000" w:themeColor="text1"/>
        </w:rPr>
        <w:t>dokonującym dostawy towarów lub usługodawcą wynikają wyłącznie z</w:t>
      </w:r>
      <w:r w:rsidR="001D006C">
        <w:rPr>
          <w:rFonts w:ascii="Arial" w:hAnsi="Arial"/>
          <w:color w:val="000000" w:themeColor="text1"/>
        </w:rPr>
        <w:t> </w:t>
      </w:r>
      <w:r w:rsidR="001D006C" w:rsidRPr="001D006C">
        <w:rPr>
          <w:rFonts w:ascii="Arial" w:hAnsi="Arial"/>
          <w:color w:val="000000" w:themeColor="text1"/>
        </w:rPr>
        <w:t>powiązania ze Skarbem Państwa lub jednostkami samorządu terytorialnego, lub ich związkami</w:t>
      </w:r>
      <w:r w:rsidR="0058081B">
        <w:rPr>
          <w:rFonts w:ascii="Arial" w:hAnsi="Arial"/>
          <w:color w:val="000000" w:themeColor="text1"/>
        </w:rPr>
        <w:t>.</w:t>
      </w:r>
      <w:r w:rsidRPr="009013A2">
        <w:rPr>
          <w:rFonts w:ascii="Arial" w:hAnsi="Arial"/>
          <w:color w:val="000000" w:themeColor="text1"/>
        </w:rPr>
        <w:t>”</w:t>
      </w:r>
    </w:p>
    <w:p w14:paraId="63B6DAF6" w14:textId="78FAF797" w:rsidR="00B66EB7" w:rsidRPr="009013A2" w:rsidRDefault="00B66EB7" w:rsidP="005B574F">
      <w:pPr>
        <w:spacing w:line="276" w:lineRule="auto"/>
        <w:ind w:left="2160"/>
        <w:jc w:val="both"/>
        <w:rPr>
          <w:rFonts w:ascii="Arial" w:hAnsi="Arial"/>
          <w:color w:val="000000" w:themeColor="text1"/>
        </w:rPr>
      </w:pPr>
    </w:p>
    <w:p w14:paraId="704B6709" w14:textId="126AE78C" w:rsidR="00B66EB7" w:rsidRPr="009013A2" w:rsidRDefault="006E5113" w:rsidP="005B574F">
      <w:pPr>
        <w:pStyle w:val="Akapitzlist"/>
        <w:numPr>
          <w:ilvl w:val="2"/>
          <w:numId w:val="11"/>
        </w:numPr>
        <w:spacing w:line="276" w:lineRule="auto"/>
        <w:jc w:val="both"/>
        <w:rPr>
          <w:rFonts w:ascii="Arial" w:hAnsi="Arial"/>
          <w:color w:val="000000" w:themeColor="text1"/>
        </w:rPr>
      </w:pPr>
      <w:r>
        <w:rPr>
          <w:rFonts w:ascii="Arial" w:hAnsi="Arial"/>
          <w:color w:val="000000" w:themeColor="text1"/>
        </w:rPr>
        <w:t xml:space="preserve"> dodaje się</w:t>
      </w:r>
      <w:r w:rsidR="00B66EB7" w:rsidRPr="009013A2">
        <w:rPr>
          <w:rFonts w:ascii="Arial" w:hAnsi="Arial"/>
          <w:color w:val="000000" w:themeColor="text1"/>
        </w:rPr>
        <w:t xml:space="preserve"> punkt 5.1.7. „Pozostałe przypadki (brak oznaczeń)” o treści:</w:t>
      </w:r>
    </w:p>
    <w:p w14:paraId="585E1851" w14:textId="66D1E68A" w:rsidR="00B66EB7" w:rsidRPr="009013A2" w:rsidRDefault="00B66EB7" w:rsidP="005B574F">
      <w:pPr>
        <w:spacing w:line="276" w:lineRule="auto"/>
        <w:jc w:val="both"/>
        <w:rPr>
          <w:rFonts w:ascii="Arial" w:hAnsi="Arial"/>
          <w:color w:val="000000" w:themeColor="text1"/>
        </w:rPr>
      </w:pPr>
    </w:p>
    <w:p w14:paraId="1D863465" w14:textId="75C4D175" w:rsidR="00B66EB7" w:rsidRPr="005B574F" w:rsidRDefault="00B66EB7" w:rsidP="005B574F">
      <w:pPr>
        <w:spacing w:line="276" w:lineRule="auto"/>
        <w:ind w:left="1655" w:firstLine="505"/>
        <w:jc w:val="both"/>
        <w:rPr>
          <w:rFonts w:ascii="Arial" w:hAnsi="Arial"/>
          <w:color w:val="000000" w:themeColor="text1"/>
        </w:rPr>
      </w:pPr>
      <w:r w:rsidRPr="009013A2">
        <w:rPr>
          <w:rFonts w:ascii="Arial" w:hAnsi="Arial"/>
          <w:color w:val="000000" w:themeColor="text1"/>
        </w:rPr>
        <w:t>„</w:t>
      </w:r>
      <w:r w:rsidRPr="005B574F">
        <w:rPr>
          <w:rFonts w:ascii="Arial" w:hAnsi="Arial"/>
          <w:b/>
          <w:i/>
          <w:color w:val="000000" w:themeColor="text1"/>
        </w:rPr>
        <w:t>5.1.7. Pozostałe przypadki (brak oznaczeń)</w:t>
      </w:r>
    </w:p>
    <w:p w14:paraId="17BCB9E9" w14:textId="77777777" w:rsidR="00B66EB7" w:rsidRPr="009013A2" w:rsidRDefault="00B66EB7" w:rsidP="005B574F">
      <w:pPr>
        <w:pStyle w:val="Akapitzlist"/>
        <w:spacing w:line="276" w:lineRule="auto"/>
        <w:ind w:left="1835"/>
        <w:jc w:val="both"/>
        <w:rPr>
          <w:rFonts w:ascii="Arial" w:hAnsi="Arial"/>
          <w:color w:val="000000" w:themeColor="text1"/>
        </w:rPr>
      </w:pPr>
    </w:p>
    <w:p w14:paraId="3E34DA04" w14:textId="1AA4623A" w:rsidR="00B66EB7" w:rsidRPr="005B574F" w:rsidRDefault="00B66EB7" w:rsidP="005B574F">
      <w:pPr>
        <w:spacing w:line="276" w:lineRule="auto"/>
        <w:ind w:left="2160"/>
        <w:jc w:val="both"/>
        <w:rPr>
          <w:rFonts w:ascii="Arial" w:hAnsi="Arial"/>
          <w:color w:val="000000" w:themeColor="text1"/>
        </w:rPr>
      </w:pPr>
      <w:r w:rsidRPr="005B574F">
        <w:rPr>
          <w:rFonts w:ascii="Arial" w:hAnsi="Arial"/>
          <w:color w:val="000000" w:themeColor="text1"/>
        </w:rPr>
        <w:t>Począwszy od rozliczenia za lipiec 2021 r., znaczników procedur nie stosuje się do dokumentów źródłowych posiadających oznaczenie RO (raport zbiorczy z kas fiskalnych).”</w:t>
      </w:r>
    </w:p>
    <w:p w14:paraId="4EF94F18" w14:textId="189468F8" w:rsidR="00B66EB7" w:rsidRPr="009013A2" w:rsidRDefault="00B66EB7" w:rsidP="005B574F">
      <w:pPr>
        <w:pStyle w:val="Akapitzlist"/>
        <w:spacing w:line="276" w:lineRule="auto"/>
        <w:ind w:left="1835"/>
        <w:jc w:val="both"/>
        <w:rPr>
          <w:rFonts w:ascii="Arial" w:hAnsi="Arial"/>
          <w:color w:val="000000" w:themeColor="text1"/>
        </w:rPr>
      </w:pPr>
    </w:p>
    <w:p w14:paraId="37F231F3" w14:textId="5D56E86D" w:rsidR="00B66EB7" w:rsidRPr="009013A2" w:rsidRDefault="00B66EB7" w:rsidP="005B574F">
      <w:pPr>
        <w:pStyle w:val="Akapitzlist"/>
        <w:numPr>
          <w:ilvl w:val="2"/>
          <w:numId w:val="11"/>
        </w:numPr>
        <w:spacing w:line="276" w:lineRule="auto"/>
        <w:jc w:val="both"/>
        <w:rPr>
          <w:rFonts w:ascii="Arial" w:hAnsi="Arial"/>
          <w:color w:val="000000" w:themeColor="text1"/>
        </w:rPr>
      </w:pPr>
      <w:r w:rsidRPr="009013A2">
        <w:rPr>
          <w:rFonts w:ascii="Arial" w:hAnsi="Arial"/>
          <w:color w:val="000000" w:themeColor="text1"/>
        </w:rPr>
        <w:t xml:space="preserve"> Zmienia się treść punktu 5.2.2. „Mechanizm podzielonej płatności (oznaczenie MPP)”</w:t>
      </w:r>
      <w:r w:rsidR="00AC6B0A">
        <w:rPr>
          <w:rFonts w:ascii="Arial" w:hAnsi="Arial"/>
          <w:color w:val="000000" w:themeColor="text1"/>
        </w:rPr>
        <w:t xml:space="preserve"> </w:t>
      </w:r>
      <w:r w:rsidRPr="009013A2">
        <w:rPr>
          <w:rFonts w:ascii="Arial" w:hAnsi="Arial"/>
          <w:color w:val="000000" w:themeColor="text1"/>
        </w:rPr>
        <w:t>i nadaje się mu następujące brzmienie:</w:t>
      </w:r>
    </w:p>
    <w:p w14:paraId="60931845" w14:textId="77777777" w:rsidR="00B66EB7" w:rsidRPr="009013A2" w:rsidRDefault="00B66EB7" w:rsidP="005B574F">
      <w:pPr>
        <w:pStyle w:val="Akapitzlist"/>
        <w:spacing w:line="276" w:lineRule="auto"/>
        <w:ind w:left="1835"/>
        <w:jc w:val="both"/>
        <w:rPr>
          <w:rFonts w:ascii="Arial" w:hAnsi="Arial"/>
          <w:color w:val="000000" w:themeColor="text1"/>
        </w:rPr>
      </w:pPr>
    </w:p>
    <w:p w14:paraId="1A5BA669" w14:textId="77777777" w:rsidR="00F66C32" w:rsidRPr="009013A2" w:rsidRDefault="00B66EB7" w:rsidP="005B574F">
      <w:pPr>
        <w:pStyle w:val="Akapitzlist"/>
        <w:spacing w:line="276" w:lineRule="auto"/>
        <w:ind w:left="2160"/>
        <w:jc w:val="both"/>
        <w:rPr>
          <w:rFonts w:ascii="Arial" w:hAnsi="Arial"/>
          <w:color w:val="000000" w:themeColor="text1"/>
        </w:rPr>
      </w:pPr>
      <w:r w:rsidRPr="009013A2">
        <w:rPr>
          <w:rFonts w:ascii="Arial" w:hAnsi="Arial"/>
          <w:color w:val="000000" w:themeColor="text1"/>
        </w:rPr>
        <w:lastRenderedPageBreak/>
        <w:t xml:space="preserve">„Począwszy od rozliczenia za lipiec 2021 r. nie stosuje się oznaczenia MPP. </w:t>
      </w:r>
      <w:r w:rsidR="00F66C32" w:rsidRPr="009013A2">
        <w:rPr>
          <w:rFonts w:ascii="Arial" w:hAnsi="Arial"/>
          <w:color w:val="000000" w:themeColor="text1"/>
        </w:rPr>
        <w:t>Poniższe zapisy znajdą zastosowanie wyłącznie w przypadku korekty rozliczeń za wcześniejsze okresy rozliczeniowe do czerwca 2021 r. włącznie.</w:t>
      </w:r>
    </w:p>
    <w:p w14:paraId="4B7B8622" w14:textId="39480103" w:rsidR="00B66EB7" w:rsidRPr="009013A2" w:rsidRDefault="00B66EB7" w:rsidP="005B574F">
      <w:pPr>
        <w:pStyle w:val="Akapitzlist"/>
        <w:spacing w:line="276" w:lineRule="auto"/>
        <w:ind w:left="2160"/>
        <w:jc w:val="both"/>
        <w:rPr>
          <w:rFonts w:ascii="Arial" w:hAnsi="Arial"/>
          <w:color w:val="000000" w:themeColor="text1"/>
        </w:rPr>
      </w:pPr>
    </w:p>
    <w:p w14:paraId="6082B4B4" w14:textId="6A1F9123" w:rsidR="00B66EB7" w:rsidRPr="005B574F" w:rsidRDefault="00B66EB7">
      <w:pPr>
        <w:pStyle w:val="Podstawowy"/>
        <w:spacing w:after="0"/>
        <w:ind w:left="2127"/>
        <w:rPr>
          <w:rFonts w:ascii="Arial" w:hAnsi="Arial" w:cs="Arial"/>
          <w:noProof/>
          <w:sz w:val="20"/>
          <w:szCs w:val="20"/>
        </w:rPr>
      </w:pPr>
      <w:r w:rsidRPr="00AC6B0A">
        <w:rPr>
          <w:rFonts w:ascii="Arial" w:hAnsi="Arial" w:cs="Arial"/>
          <w:noProof/>
          <w:sz w:val="20"/>
          <w:szCs w:val="20"/>
        </w:rPr>
        <w:t>W przypadku sokrygowania rozliczeń za wcześniejsze okresy rozliczeniowe do</w:t>
      </w:r>
      <w:r w:rsidR="00AC6B0A">
        <w:rPr>
          <w:rFonts w:ascii="Arial" w:hAnsi="Arial" w:cs="Arial"/>
          <w:noProof/>
          <w:sz w:val="20"/>
          <w:szCs w:val="20"/>
        </w:rPr>
        <w:t> </w:t>
      </w:r>
      <w:r w:rsidRPr="00AC6B0A">
        <w:rPr>
          <w:rFonts w:ascii="Arial" w:hAnsi="Arial" w:cs="Arial"/>
          <w:noProof/>
          <w:sz w:val="20"/>
          <w:szCs w:val="20"/>
        </w:rPr>
        <w:t xml:space="preserve">czerwca 2021 r. włącznie, Gmina </w:t>
      </w:r>
      <w:r w:rsidRPr="00A45EDC">
        <w:rPr>
          <w:rFonts w:ascii="Arial" w:hAnsi="Arial" w:cs="Arial"/>
          <w:noProof/>
          <w:sz w:val="20"/>
          <w:szCs w:val="20"/>
        </w:rPr>
        <w:t>stosuje oznaczenie MPP, jeśli nabyła towary/usługi na zasadach określonych w pkt 5.1.1., tj. g</w:t>
      </w:r>
      <w:r w:rsidRPr="005B574F">
        <w:rPr>
          <w:rFonts w:ascii="Arial" w:hAnsi="Arial" w:cs="Arial"/>
          <w:noProof/>
          <w:sz w:val="20"/>
          <w:szCs w:val="20"/>
        </w:rPr>
        <w:t xml:space="preserve">dy: </w:t>
      </w:r>
    </w:p>
    <w:p w14:paraId="115B579A" w14:textId="11131CB6" w:rsidR="00B66EB7" w:rsidRPr="00A45EDC" w:rsidRDefault="00B66EB7">
      <w:pPr>
        <w:pStyle w:val="Podstawowy"/>
        <w:numPr>
          <w:ilvl w:val="0"/>
          <w:numId w:val="28"/>
        </w:numPr>
        <w:spacing w:before="120" w:after="0"/>
        <w:ind w:left="2552" w:hanging="284"/>
        <w:rPr>
          <w:rFonts w:ascii="Arial" w:hAnsi="Arial" w:cs="Arial"/>
          <w:noProof/>
          <w:sz w:val="20"/>
          <w:szCs w:val="20"/>
        </w:rPr>
      </w:pPr>
      <w:r w:rsidRPr="005B574F">
        <w:rPr>
          <w:rFonts w:ascii="Arial" w:hAnsi="Arial" w:cs="Arial"/>
          <w:noProof/>
          <w:sz w:val="20"/>
          <w:szCs w:val="20"/>
        </w:rPr>
        <w:t>transakcja została udokumentowana fakturą o wartości powyżej 15 tys. PLN brutto</w:t>
      </w:r>
      <w:r w:rsidRPr="00AC6B0A">
        <w:rPr>
          <w:rFonts w:ascii="Arial" w:hAnsi="Arial" w:cs="Arial"/>
          <w:b/>
          <w:noProof/>
          <w:sz w:val="20"/>
          <w:szCs w:val="20"/>
        </w:rPr>
        <w:t>,</w:t>
      </w:r>
      <w:r w:rsidRPr="00A45EDC">
        <w:rPr>
          <w:rFonts w:ascii="Arial" w:hAnsi="Arial" w:cs="Arial"/>
          <w:noProof/>
          <w:sz w:val="20"/>
          <w:szCs w:val="20"/>
        </w:rPr>
        <w:t xml:space="preserve"> </w:t>
      </w:r>
    </w:p>
    <w:p w14:paraId="783C6C3C" w14:textId="4A9DF511" w:rsidR="00B66EB7" w:rsidRPr="00A45EDC" w:rsidRDefault="00B66EB7">
      <w:pPr>
        <w:pStyle w:val="Podstawowy"/>
        <w:numPr>
          <w:ilvl w:val="0"/>
          <w:numId w:val="28"/>
        </w:numPr>
        <w:spacing w:before="120" w:after="120"/>
        <w:ind w:left="2552" w:hanging="284"/>
        <w:rPr>
          <w:rFonts w:ascii="Arial" w:hAnsi="Arial" w:cs="Arial"/>
          <w:noProof/>
          <w:sz w:val="20"/>
          <w:szCs w:val="20"/>
        </w:rPr>
      </w:pPr>
      <w:r w:rsidRPr="005B574F">
        <w:rPr>
          <w:rFonts w:ascii="Arial" w:hAnsi="Arial" w:cs="Arial"/>
          <w:noProof/>
          <w:sz w:val="20"/>
          <w:szCs w:val="20"/>
        </w:rPr>
        <w:t>transkacja dotyczy</w:t>
      </w:r>
      <w:r w:rsidR="009D4E55">
        <w:rPr>
          <w:rFonts w:ascii="Arial" w:hAnsi="Arial" w:cs="Arial"/>
          <w:noProof/>
          <w:sz w:val="20"/>
          <w:szCs w:val="20"/>
        </w:rPr>
        <w:t>ła</w:t>
      </w:r>
      <w:r w:rsidRPr="005B574F">
        <w:rPr>
          <w:rFonts w:ascii="Arial" w:hAnsi="Arial" w:cs="Arial"/>
          <w:noProof/>
          <w:sz w:val="20"/>
          <w:szCs w:val="20"/>
        </w:rPr>
        <w:t xml:space="preserve"> (przynajmniej w części) towarów / usług z załącznika nr 15 do ustawy o VAT (stanowiącego załącznik nr 2 do niniejszej instrukcji</w:t>
      </w:r>
      <w:r w:rsidRPr="00AC6B0A">
        <w:rPr>
          <w:rFonts w:ascii="Arial" w:hAnsi="Arial" w:cs="Arial"/>
          <w:noProof/>
          <w:sz w:val="20"/>
          <w:szCs w:val="20"/>
        </w:rPr>
        <w:t>).</w:t>
      </w:r>
    </w:p>
    <w:p w14:paraId="411129F7" w14:textId="514EEF45" w:rsidR="00B66EB7" w:rsidRPr="005B574F" w:rsidRDefault="00B66EB7">
      <w:pPr>
        <w:pStyle w:val="Podstawowy"/>
        <w:ind w:left="2127"/>
        <w:rPr>
          <w:rFonts w:ascii="Arial" w:hAnsi="Arial" w:cs="Arial"/>
          <w:noProof/>
          <w:sz w:val="20"/>
          <w:szCs w:val="20"/>
        </w:rPr>
      </w:pPr>
      <w:r w:rsidRPr="005B574F">
        <w:rPr>
          <w:rFonts w:ascii="Arial" w:hAnsi="Arial" w:cs="Arial"/>
          <w:noProof/>
          <w:sz w:val="20"/>
          <w:szCs w:val="20"/>
        </w:rPr>
        <w:t>W takim przypadku Gmina obligatoryjnie stosuje oznaczenie MPP nawet wtedy, gdy przynajmniej tylko jedna pozycja na fakturze obejmuje nabycie towarów lub świadczenie usług, o których mowa w załączniku nr 15 do ustawy o VAT (niezależnie od wartości tej pozycji), a kwota należności ogółem z faktury stanowi kwotę, o której mowa w art. 19 ustawy - Prawo przedsiębiorców (na moment sporządzania instrukcji kwota ta przekracza wartość 15.000 PLN brutto).</w:t>
      </w:r>
    </w:p>
    <w:p w14:paraId="4A83BF6C" w14:textId="02028C64" w:rsidR="00B66EB7" w:rsidRPr="00AC6B0A" w:rsidRDefault="00B66EB7">
      <w:pPr>
        <w:pStyle w:val="Podstawowy"/>
        <w:ind w:left="2127"/>
        <w:rPr>
          <w:rFonts w:ascii="Arial" w:hAnsi="Arial" w:cs="Arial"/>
          <w:i/>
          <w:noProof/>
          <w:sz w:val="20"/>
          <w:szCs w:val="20"/>
        </w:rPr>
      </w:pPr>
      <w:r w:rsidRPr="005B574F">
        <w:rPr>
          <w:rFonts w:ascii="Arial" w:hAnsi="Arial" w:cs="Arial"/>
          <w:b/>
          <w:i/>
          <w:sz w:val="20"/>
          <w:szCs w:val="20"/>
        </w:rPr>
        <w:t>UWAGA!</w:t>
      </w:r>
      <w:r w:rsidRPr="005B574F">
        <w:rPr>
          <w:rFonts w:ascii="Arial" w:hAnsi="Arial" w:cs="Arial"/>
          <w:i/>
          <w:sz w:val="20"/>
          <w:szCs w:val="20"/>
        </w:rPr>
        <w:t xml:space="preserve"> </w:t>
      </w:r>
      <w:r w:rsidRPr="005B574F">
        <w:rPr>
          <w:rFonts w:ascii="Arial" w:hAnsi="Arial" w:cs="Arial"/>
          <w:i/>
          <w:noProof/>
          <w:sz w:val="20"/>
          <w:szCs w:val="20"/>
          <w:u w:val="single"/>
        </w:rPr>
        <w:t>Oznaczenie MPP dotyczy wyłącznie transakcji objętej obowiązkiem stosowania mechanizmu podzielonej płatności</w:t>
      </w:r>
      <w:r w:rsidRPr="005B574F">
        <w:rPr>
          <w:rFonts w:ascii="Arial" w:hAnsi="Arial" w:cs="Arial"/>
          <w:i/>
          <w:noProof/>
          <w:sz w:val="20"/>
          <w:szCs w:val="20"/>
        </w:rPr>
        <w:t xml:space="preserve"> – nie należy go zatem stosować do faktur, w których Gmina dobrowolnie zawarła informację o płatności mechanizmem / faktur, które Gmina dobrowolnie (wobec braku takiego obowiązku) opłaciła za pomocą mechanizmu. </w:t>
      </w:r>
      <w:r w:rsidRPr="005B574F">
        <w:rPr>
          <w:rFonts w:ascii="Arial" w:hAnsi="Arial" w:cs="Arial"/>
          <w:i/>
          <w:noProof/>
          <w:sz w:val="20"/>
          <w:szCs w:val="20"/>
          <w:u w:val="single"/>
        </w:rPr>
        <w:t>Jednocześnie oznaczenie MPP Gmina stosuje także do faktur zakupowych, które, mimo istnienia takiego obowiązku, nie zostały oznaczone na fakturze przez sprzedawcę stosowną adnotacją.</w:t>
      </w:r>
    </w:p>
    <w:p w14:paraId="6E27B2CD" w14:textId="580FC900" w:rsidR="001F715E" w:rsidRPr="00AC6B0A" w:rsidRDefault="00B66EB7" w:rsidP="005B574F">
      <w:pPr>
        <w:pStyle w:val="Podstawowy"/>
        <w:ind w:left="2127"/>
        <w:rPr>
          <w:rFonts w:ascii="Arial" w:hAnsi="Arial"/>
          <w:i/>
          <w:noProof/>
        </w:rPr>
      </w:pPr>
      <w:r w:rsidRPr="005B574F">
        <w:rPr>
          <w:rFonts w:ascii="Arial" w:hAnsi="Arial" w:cs="Arial"/>
          <w:i/>
          <w:noProof/>
          <w:sz w:val="20"/>
          <w:szCs w:val="20"/>
          <w:u w:val="single"/>
        </w:rPr>
        <w:t>Zastosowanie oznaczenia MPP niezasadnie</w:t>
      </w:r>
      <w:r w:rsidRPr="005B574F">
        <w:rPr>
          <w:rFonts w:ascii="Arial" w:hAnsi="Arial" w:cs="Arial"/>
          <w:i/>
          <w:noProof/>
          <w:sz w:val="20"/>
          <w:szCs w:val="20"/>
        </w:rPr>
        <w:t xml:space="preserve"> (tj. w odniesieniu do transakcji, która nie była objęta obowiązkowym mechanizmem podzielonej płatności, nawet jeśli faktycznie płatność uiszczona została w ten sposób) jest </w:t>
      </w:r>
      <w:r w:rsidRPr="005B574F">
        <w:rPr>
          <w:rFonts w:ascii="Arial" w:hAnsi="Arial" w:cs="Arial"/>
          <w:i/>
          <w:noProof/>
          <w:sz w:val="20"/>
          <w:szCs w:val="20"/>
          <w:u w:val="single"/>
        </w:rPr>
        <w:t>nieprawidłowością, mogącą potencjalnie skutkować wezwaniem Gminy do</w:t>
      </w:r>
      <w:r w:rsidR="00A45EDC">
        <w:rPr>
          <w:rFonts w:ascii="Arial" w:hAnsi="Arial" w:cs="Arial"/>
          <w:i/>
          <w:noProof/>
          <w:sz w:val="20"/>
          <w:szCs w:val="20"/>
          <w:u w:val="single"/>
        </w:rPr>
        <w:t> </w:t>
      </w:r>
      <w:r w:rsidRPr="005B574F">
        <w:rPr>
          <w:rFonts w:ascii="Arial" w:hAnsi="Arial" w:cs="Arial"/>
          <w:i/>
          <w:noProof/>
          <w:sz w:val="20"/>
          <w:szCs w:val="20"/>
          <w:u w:val="single"/>
        </w:rPr>
        <w:t>korekty pliku JPK_V7M, a docelowo nawet nałożenia sankcji</w:t>
      </w:r>
      <w:r w:rsidRPr="005B574F">
        <w:rPr>
          <w:rFonts w:ascii="Arial" w:hAnsi="Arial" w:cs="Arial"/>
          <w:i/>
          <w:noProof/>
          <w:sz w:val="20"/>
          <w:szCs w:val="20"/>
        </w:rPr>
        <w:t>.”</w:t>
      </w:r>
    </w:p>
    <w:p w14:paraId="1027424D" w14:textId="77777777" w:rsidR="00B66EB7" w:rsidRPr="009013A2" w:rsidRDefault="00B66EB7" w:rsidP="005B574F">
      <w:pPr>
        <w:pStyle w:val="Akapitzlist"/>
        <w:spacing w:line="276" w:lineRule="auto"/>
        <w:ind w:left="1835"/>
        <w:jc w:val="both"/>
        <w:rPr>
          <w:rFonts w:ascii="Arial" w:hAnsi="Arial"/>
          <w:color w:val="000000" w:themeColor="text1"/>
        </w:rPr>
      </w:pPr>
    </w:p>
    <w:p w14:paraId="4D2746F5" w14:textId="40E948A4" w:rsidR="00B66EB7" w:rsidRDefault="00B66EB7" w:rsidP="005B574F">
      <w:pPr>
        <w:pStyle w:val="Akapitzlist"/>
        <w:numPr>
          <w:ilvl w:val="2"/>
          <w:numId w:val="11"/>
        </w:numPr>
        <w:spacing w:line="276" w:lineRule="auto"/>
        <w:jc w:val="both"/>
        <w:rPr>
          <w:rFonts w:ascii="Arial" w:hAnsi="Arial"/>
          <w:color w:val="000000" w:themeColor="text1"/>
        </w:rPr>
      </w:pPr>
      <w:r w:rsidRPr="009013A2">
        <w:rPr>
          <w:rFonts w:ascii="Arial" w:hAnsi="Arial"/>
          <w:color w:val="000000" w:themeColor="text1"/>
        </w:rPr>
        <w:t xml:space="preserve"> Zmienia się treść punktu 6.4. „Faktury korygujące a oznaczenie MPP</w:t>
      </w:r>
      <w:r w:rsidRPr="005B574F">
        <w:rPr>
          <w:rFonts w:ascii="Arial" w:hAnsi="Arial"/>
          <w:color w:val="000000" w:themeColor="text1"/>
        </w:rPr>
        <w:t>”</w:t>
      </w:r>
      <w:r w:rsidR="008A5E18" w:rsidRPr="009013A2">
        <w:rPr>
          <w:rFonts w:ascii="Arial" w:hAnsi="Arial"/>
          <w:color w:val="000000" w:themeColor="text1"/>
        </w:rPr>
        <w:t xml:space="preserve"> </w:t>
      </w:r>
      <w:r w:rsidRPr="005B574F">
        <w:rPr>
          <w:rFonts w:ascii="Arial" w:hAnsi="Arial"/>
          <w:color w:val="000000" w:themeColor="text1"/>
        </w:rPr>
        <w:t>i nadaje się mu następujące brzmienie:</w:t>
      </w:r>
    </w:p>
    <w:p w14:paraId="5094A3BA" w14:textId="77777777" w:rsidR="00760CC7" w:rsidRPr="005B574F" w:rsidRDefault="00760CC7" w:rsidP="005B574F">
      <w:pPr>
        <w:pStyle w:val="Akapitzlist"/>
        <w:spacing w:line="276" w:lineRule="auto"/>
        <w:ind w:left="1835"/>
        <w:jc w:val="both"/>
        <w:rPr>
          <w:rFonts w:ascii="Arial" w:hAnsi="Arial"/>
          <w:color w:val="000000" w:themeColor="text1"/>
        </w:rPr>
      </w:pPr>
    </w:p>
    <w:p w14:paraId="0C0BEB8A" w14:textId="78E6F457" w:rsidR="008A5E18" w:rsidRPr="005B574F" w:rsidRDefault="00B66EB7" w:rsidP="005B574F">
      <w:pPr>
        <w:pStyle w:val="Podstawowy"/>
        <w:ind w:left="2160"/>
        <w:rPr>
          <w:rFonts w:ascii="Arial" w:hAnsi="Arial" w:cs="Arial"/>
          <w:sz w:val="20"/>
          <w:szCs w:val="20"/>
        </w:rPr>
      </w:pPr>
      <w:r w:rsidRPr="005B574F">
        <w:rPr>
          <w:rFonts w:ascii="Arial" w:hAnsi="Arial" w:cs="Arial"/>
          <w:sz w:val="20"/>
          <w:szCs w:val="20"/>
        </w:rPr>
        <w:t>„</w:t>
      </w:r>
      <w:r w:rsidR="008A5E18" w:rsidRPr="00AC6B0A">
        <w:rPr>
          <w:rFonts w:ascii="Arial" w:hAnsi="Arial" w:cs="Arial"/>
          <w:sz w:val="20"/>
          <w:szCs w:val="20"/>
        </w:rPr>
        <w:t>Gmina nie stosuje oznaczenia MPP do faktury korygującej</w:t>
      </w:r>
      <w:r w:rsidR="00F66C32" w:rsidRPr="00A45EDC">
        <w:rPr>
          <w:rFonts w:ascii="Arial" w:hAnsi="Arial" w:cs="Arial"/>
          <w:sz w:val="20"/>
          <w:szCs w:val="20"/>
        </w:rPr>
        <w:t xml:space="preserve"> uwzględnianej w</w:t>
      </w:r>
      <w:r w:rsidR="009D4E55">
        <w:rPr>
          <w:rFonts w:ascii="Arial" w:hAnsi="Arial" w:cs="Arial"/>
          <w:sz w:val="20"/>
          <w:szCs w:val="20"/>
        </w:rPr>
        <w:t> </w:t>
      </w:r>
      <w:r w:rsidR="00F66C32" w:rsidRPr="00AC6B0A">
        <w:rPr>
          <w:rFonts w:ascii="Arial" w:hAnsi="Arial" w:cs="Arial"/>
          <w:sz w:val="20"/>
          <w:szCs w:val="20"/>
        </w:rPr>
        <w:t>JPK_V7M począwszy od rozliczenia za lipiec 2021 r.</w:t>
      </w:r>
      <w:r w:rsidR="008A5E18" w:rsidRPr="00A45EDC">
        <w:rPr>
          <w:rFonts w:ascii="Arial" w:hAnsi="Arial" w:cs="Arial"/>
          <w:sz w:val="20"/>
          <w:szCs w:val="20"/>
        </w:rPr>
        <w:t xml:space="preserve">, nawet jeśli pierwotna faktura podlegała obowiązkowemu oznaczeniu MPP. </w:t>
      </w:r>
    </w:p>
    <w:p w14:paraId="766ADFAF" w14:textId="1AA98657" w:rsidR="00B66EB7" w:rsidRPr="00AC6B0A" w:rsidRDefault="008A5E18" w:rsidP="005B574F">
      <w:pPr>
        <w:pStyle w:val="Podstawowy"/>
        <w:ind w:left="2160"/>
        <w:rPr>
          <w:rFonts w:ascii="Arial" w:hAnsi="Arial"/>
        </w:rPr>
      </w:pPr>
      <w:r w:rsidRPr="005B574F">
        <w:rPr>
          <w:rFonts w:ascii="Arial" w:hAnsi="Arial" w:cs="Arial"/>
          <w:noProof/>
          <w:sz w:val="20"/>
          <w:szCs w:val="20"/>
        </w:rPr>
        <w:t>W przypadku sokrygowania rozliczeń za wcześniejsze okresy rozliczeniowe do</w:t>
      </w:r>
      <w:r w:rsidR="00AC6B0A">
        <w:rPr>
          <w:rFonts w:ascii="Arial" w:hAnsi="Arial" w:cs="Arial"/>
          <w:noProof/>
          <w:sz w:val="20"/>
          <w:szCs w:val="20"/>
        </w:rPr>
        <w:t> </w:t>
      </w:r>
      <w:r w:rsidRPr="005B574F">
        <w:rPr>
          <w:rFonts w:ascii="Arial" w:hAnsi="Arial" w:cs="Arial"/>
          <w:noProof/>
          <w:sz w:val="20"/>
          <w:szCs w:val="20"/>
        </w:rPr>
        <w:t xml:space="preserve">czerwca 2021 r. włącznie, </w:t>
      </w:r>
      <w:r w:rsidR="00F66C32" w:rsidRPr="005B574F">
        <w:rPr>
          <w:rFonts w:ascii="Arial" w:hAnsi="Arial" w:cs="Arial"/>
          <w:sz w:val="20"/>
          <w:szCs w:val="20"/>
        </w:rPr>
        <w:t>jeśli</w:t>
      </w:r>
      <w:r w:rsidR="00B66EB7" w:rsidRPr="005B574F">
        <w:rPr>
          <w:rFonts w:ascii="Arial" w:hAnsi="Arial" w:cs="Arial"/>
          <w:sz w:val="20"/>
          <w:szCs w:val="20"/>
        </w:rPr>
        <w:t xml:space="preserve"> faktura pierwotna podlegała obowiązkowemu oznaczeniu MPP, a po wystawieniu faktury korygującej jej wartość jest równa lub niższa 15 tys. PLN brutto, Gmina nie oznacza faktury korygującej symbolem MPP. Jeśli jednak po korekcie faktura nadal opiewa na kwotę wyższą aniżeli 15 tys. PLN brutto, oznaczenie MPP Gmina stosuje również w odniesieniu do</w:t>
      </w:r>
      <w:r w:rsidR="00AC6B0A">
        <w:rPr>
          <w:rFonts w:ascii="Arial" w:hAnsi="Arial" w:cs="Arial"/>
          <w:sz w:val="20"/>
          <w:szCs w:val="20"/>
        </w:rPr>
        <w:t> </w:t>
      </w:r>
      <w:r w:rsidR="00B66EB7" w:rsidRPr="005B574F">
        <w:rPr>
          <w:rFonts w:ascii="Arial" w:hAnsi="Arial" w:cs="Arial"/>
          <w:sz w:val="20"/>
          <w:szCs w:val="20"/>
        </w:rPr>
        <w:t>faktury korygującej.</w:t>
      </w:r>
      <w:r w:rsidRPr="005B574F">
        <w:rPr>
          <w:rFonts w:ascii="Arial" w:hAnsi="Arial" w:cs="Arial"/>
          <w:sz w:val="20"/>
          <w:szCs w:val="20"/>
        </w:rPr>
        <w:t>”</w:t>
      </w:r>
    </w:p>
    <w:p w14:paraId="578DF585" w14:textId="5039B5EF" w:rsidR="00B66EB7" w:rsidRPr="00AC6B0A" w:rsidRDefault="008A5E18" w:rsidP="005B574F">
      <w:pPr>
        <w:pStyle w:val="Podstawowy"/>
        <w:numPr>
          <w:ilvl w:val="2"/>
          <w:numId w:val="11"/>
        </w:numPr>
        <w:rPr>
          <w:rFonts w:ascii="Arial" w:hAnsi="Arial"/>
        </w:rPr>
      </w:pPr>
      <w:r w:rsidRPr="005B574F">
        <w:rPr>
          <w:rFonts w:ascii="Arial" w:hAnsi="Arial" w:cs="Arial"/>
          <w:sz w:val="20"/>
          <w:szCs w:val="20"/>
        </w:rPr>
        <w:t>dodaje się punkt 7. „Dodatkowe uwagi” o treści:</w:t>
      </w:r>
    </w:p>
    <w:p w14:paraId="72F2B93E" w14:textId="4F38A484" w:rsidR="00B66EB7" w:rsidRDefault="008A5E18" w:rsidP="005B574F">
      <w:pPr>
        <w:pStyle w:val="Podstawowy"/>
        <w:ind w:left="2160"/>
        <w:rPr>
          <w:rFonts w:ascii="Arial" w:hAnsi="Arial"/>
        </w:rPr>
      </w:pPr>
      <w:r w:rsidRPr="005B574F">
        <w:rPr>
          <w:rFonts w:ascii="Arial" w:hAnsi="Arial" w:cs="Arial"/>
          <w:sz w:val="20"/>
          <w:szCs w:val="20"/>
        </w:rPr>
        <w:lastRenderedPageBreak/>
        <w:t>„Począwszy od rozliczenia za lipiec 2021 r., w ewidencji VAT należy raportować wszelkie (inne) transakcje generujące VAT należny, które są nieudokumentowane fakturami i nie są rejestrowane na kasie fiskalnej, a także nie były ujmowane w ewidencji VAT jako faktury na podstawie wcześniej obowiązujących przepisów. Takie transakcje należy wykazywać w ewidencji VAT w wysokościach zbiorczych, w podziale na stawki podatku.”</w:t>
      </w:r>
    </w:p>
    <w:p w14:paraId="4B0C3FFB" w14:textId="77777777" w:rsidR="009D4E55" w:rsidRPr="00AC6B0A" w:rsidRDefault="009D4E55" w:rsidP="005B574F">
      <w:pPr>
        <w:pStyle w:val="Podstawowy"/>
        <w:ind w:left="2160"/>
        <w:rPr>
          <w:rFonts w:ascii="Arial" w:hAnsi="Arial"/>
          <w:szCs w:val="20"/>
        </w:rPr>
      </w:pPr>
    </w:p>
    <w:p w14:paraId="06065765" w14:textId="3C537477" w:rsidR="008A5E18" w:rsidRPr="00A45EDC" w:rsidRDefault="008A5E18">
      <w:pPr>
        <w:pStyle w:val="Akapitzlist"/>
        <w:numPr>
          <w:ilvl w:val="1"/>
          <w:numId w:val="11"/>
        </w:numPr>
        <w:spacing w:line="276" w:lineRule="auto"/>
        <w:ind w:right="21"/>
        <w:jc w:val="both"/>
        <w:rPr>
          <w:rFonts w:ascii="Arial" w:hAnsi="Arial"/>
        </w:rPr>
      </w:pPr>
      <w:r w:rsidRPr="00A45EDC">
        <w:rPr>
          <w:rFonts w:ascii="Arial" w:hAnsi="Arial"/>
        </w:rPr>
        <w:t>w części II Instrukcji JPK_V7M:</w:t>
      </w:r>
    </w:p>
    <w:p w14:paraId="1B60474C" w14:textId="77777777" w:rsidR="001F715E" w:rsidRPr="005B574F" w:rsidRDefault="001F715E" w:rsidP="005B574F">
      <w:pPr>
        <w:spacing w:line="276" w:lineRule="auto"/>
        <w:ind w:right="21"/>
        <w:jc w:val="both"/>
        <w:rPr>
          <w:rFonts w:ascii="Arial" w:hAnsi="Arial"/>
        </w:rPr>
      </w:pPr>
    </w:p>
    <w:p w14:paraId="66B1FA84" w14:textId="0A4495DE" w:rsidR="003447CD" w:rsidRPr="005B574F" w:rsidRDefault="008A5E18" w:rsidP="005B574F">
      <w:pPr>
        <w:numPr>
          <w:ilvl w:val="2"/>
          <w:numId w:val="11"/>
        </w:numPr>
        <w:spacing w:line="276" w:lineRule="auto"/>
        <w:ind w:right="21"/>
        <w:jc w:val="both"/>
        <w:rPr>
          <w:rFonts w:ascii="Arial" w:hAnsi="Arial"/>
        </w:rPr>
      </w:pPr>
      <w:r w:rsidRPr="00AC6B0A">
        <w:rPr>
          <w:rFonts w:ascii="Arial" w:hAnsi="Arial"/>
        </w:rPr>
        <w:t xml:space="preserve"> </w:t>
      </w:r>
      <w:r w:rsidRPr="00A45EDC">
        <w:rPr>
          <w:rFonts w:ascii="Arial" w:hAnsi="Arial"/>
        </w:rPr>
        <w:t>w</w:t>
      </w:r>
      <w:r w:rsidR="003447CD" w:rsidRPr="00A45EDC">
        <w:rPr>
          <w:rFonts w:ascii="Arial" w:hAnsi="Arial"/>
        </w:rPr>
        <w:t>szystkie oznaczenia tzw. grup towarowych (GTU) wskazane w części II Instrukcji JPK_V7M</w:t>
      </w:r>
      <w:r w:rsidR="003447CD" w:rsidRPr="005B574F">
        <w:rPr>
          <w:rFonts w:ascii="Arial" w:hAnsi="Arial"/>
        </w:rPr>
        <w:t xml:space="preserve"> uprzednio na zasadzie „01”, (…) „13”, należy stosować na zasadzie „GTU_01”, (…) „GTU_13”.</w:t>
      </w:r>
    </w:p>
    <w:p w14:paraId="5D7718A7" w14:textId="77777777" w:rsidR="008A5E18" w:rsidRPr="005B574F" w:rsidRDefault="008A5E18" w:rsidP="005B574F">
      <w:pPr>
        <w:spacing w:line="276" w:lineRule="auto"/>
        <w:ind w:left="1835" w:right="21"/>
        <w:jc w:val="both"/>
        <w:rPr>
          <w:rFonts w:ascii="Arial" w:hAnsi="Arial"/>
        </w:rPr>
      </w:pPr>
    </w:p>
    <w:p w14:paraId="601D9CD6" w14:textId="3616E66A" w:rsidR="008A5E18" w:rsidRPr="00A45EDC" w:rsidRDefault="008A5E18" w:rsidP="005B574F">
      <w:pPr>
        <w:numPr>
          <w:ilvl w:val="2"/>
          <w:numId w:val="11"/>
        </w:numPr>
        <w:spacing w:line="276" w:lineRule="auto"/>
        <w:ind w:right="21"/>
        <w:jc w:val="both"/>
        <w:rPr>
          <w:rFonts w:ascii="Arial" w:hAnsi="Arial"/>
        </w:rPr>
      </w:pPr>
      <w:r w:rsidRPr="005B574F">
        <w:rPr>
          <w:rFonts w:ascii="Arial" w:hAnsi="Arial"/>
        </w:rPr>
        <w:t xml:space="preserve"> w nagłówkach tabel </w:t>
      </w:r>
      <w:r w:rsidR="002C0E48" w:rsidRPr="005B574F">
        <w:rPr>
          <w:rFonts w:ascii="Arial" w:hAnsi="Arial"/>
        </w:rPr>
        <w:t xml:space="preserve">dotyczących transakcji sprzedażowych, </w:t>
      </w:r>
      <w:r w:rsidRPr="005B574F">
        <w:rPr>
          <w:rFonts w:ascii="Arial" w:hAnsi="Arial"/>
        </w:rPr>
        <w:t>zawierających ozna</w:t>
      </w:r>
      <w:r w:rsidR="002C0E48" w:rsidRPr="005B574F">
        <w:rPr>
          <w:rFonts w:ascii="Arial" w:hAnsi="Arial"/>
        </w:rPr>
        <w:t>czenie procedury podatkowej MPP, zmienia się treść danego nagłówka i</w:t>
      </w:r>
      <w:r w:rsidR="00ED10C9">
        <w:rPr>
          <w:rFonts w:ascii="Arial" w:hAnsi="Arial"/>
        </w:rPr>
        <w:t> </w:t>
      </w:r>
      <w:r w:rsidR="002C0E48" w:rsidRPr="00AC6B0A">
        <w:rPr>
          <w:rFonts w:ascii="Arial" w:hAnsi="Arial"/>
        </w:rPr>
        <w:t xml:space="preserve">nadaje mu się </w:t>
      </w:r>
      <w:r w:rsidR="002C0E48" w:rsidRPr="00A45EDC">
        <w:rPr>
          <w:rFonts w:ascii="Arial" w:hAnsi="Arial"/>
        </w:rPr>
        <w:t>następujące brzmienie:</w:t>
      </w:r>
    </w:p>
    <w:p w14:paraId="4CF0A168" w14:textId="77777777" w:rsidR="008A5E18" w:rsidRPr="00A45EDC" w:rsidRDefault="008A5E18" w:rsidP="005B574F">
      <w:pPr>
        <w:pStyle w:val="Akapitzlist"/>
        <w:spacing w:line="276" w:lineRule="auto"/>
        <w:jc w:val="both"/>
        <w:rPr>
          <w:rFonts w:ascii="Arial" w:hAnsi="Arial"/>
        </w:rPr>
      </w:pPr>
    </w:p>
    <w:p w14:paraId="2DC6C413" w14:textId="77777777" w:rsidR="002C0E48" w:rsidRPr="005B574F" w:rsidRDefault="008A5E18" w:rsidP="005B574F">
      <w:pPr>
        <w:spacing w:line="276" w:lineRule="auto"/>
        <w:ind w:left="2160" w:right="21"/>
        <w:jc w:val="both"/>
        <w:rPr>
          <w:rFonts w:ascii="Arial" w:hAnsi="Arial"/>
        </w:rPr>
      </w:pPr>
      <w:r w:rsidRPr="005B574F">
        <w:rPr>
          <w:rFonts w:ascii="Arial" w:hAnsi="Arial"/>
        </w:rPr>
        <w:t>„</w:t>
      </w:r>
      <w:r w:rsidR="002C0E48" w:rsidRPr="005B574F">
        <w:rPr>
          <w:rFonts w:ascii="Arial" w:hAnsi="Arial"/>
        </w:rPr>
        <w:t>MPP</w:t>
      </w:r>
    </w:p>
    <w:p w14:paraId="0DCB57B6" w14:textId="24B247D8" w:rsidR="008A5E18" w:rsidRPr="00A45EDC" w:rsidRDefault="008A5E18" w:rsidP="005B574F">
      <w:pPr>
        <w:spacing w:line="276" w:lineRule="auto"/>
        <w:ind w:left="2160" w:right="21"/>
        <w:jc w:val="both"/>
        <w:rPr>
          <w:rFonts w:ascii="Arial" w:hAnsi="Arial"/>
        </w:rPr>
      </w:pPr>
      <w:r w:rsidRPr="005B574F">
        <w:rPr>
          <w:rFonts w:ascii="Arial" w:hAnsi="Arial"/>
          <w:i/>
        </w:rPr>
        <w:t xml:space="preserve">*dotyczy </w:t>
      </w:r>
      <w:r w:rsidR="002C0E48" w:rsidRPr="00AC6B0A">
        <w:rPr>
          <w:rFonts w:ascii="Arial" w:hAnsi="Arial"/>
          <w:i/>
        </w:rPr>
        <w:t xml:space="preserve">wyłącznie </w:t>
      </w:r>
      <w:r w:rsidRPr="005B574F">
        <w:rPr>
          <w:rFonts w:ascii="Arial" w:hAnsi="Arial"/>
          <w:i/>
        </w:rPr>
        <w:t xml:space="preserve">rozliczeń </w:t>
      </w:r>
      <w:r w:rsidR="002C0E48" w:rsidRPr="00AC6B0A">
        <w:rPr>
          <w:rFonts w:ascii="Arial" w:hAnsi="Arial"/>
          <w:i/>
        </w:rPr>
        <w:t>do czerwca</w:t>
      </w:r>
      <w:r w:rsidRPr="005B574F">
        <w:rPr>
          <w:rFonts w:ascii="Arial" w:hAnsi="Arial"/>
          <w:i/>
        </w:rPr>
        <w:t xml:space="preserve"> 2021 r.</w:t>
      </w:r>
      <w:r w:rsidR="002C0E48" w:rsidRPr="00AC6B0A">
        <w:rPr>
          <w:rFonts w:ascii="Arial" w:hAnsi="Arial"/>
          <w:i/>
        </w:rPr>
        <w:t xml:space="preserve"> włącznie</w:t>
      </w:r>
      <w:r w:rsidRPr="00A45EDC">
        <w:rPr>
          <w:rFonts w:ascii="Arial" w:hAnsi="Arial"/>
        </w:rPr>
        <w:t>”</w:t>
      </w:r>
    </w:p>
    <w:p w14:paraId="081459D4" w14:textId="77777777" w:rsidR="008A5E18" w:rsidRPr="00A45EDC" w:rsidRDefault="008A5E18" w:rsidP="005B574F">
      <w:pPr>
        <w:spacing w:line="276" w:lineRule="auto"/>
        <w:ind w:left="1835" w:right="21"/>
        <w:jc w:val="both"/>
        <w:rPr>
          <w:rFonts w:ascii="Arial" w:hAnsi="Arial"/>
        </w:rPr>
      </w:pPr>
    </w:p>
    <w:p w14:paraId="65BCF9AA" w14:textId="2EC45D5E" w:rsidR="002C0E48" w:rsidRPr="00A45EDC" w:rsidRDefault="008A5E18" w:rsidP="005B574F">
      <w:pPr>
        <w:numPr>
          <w:ilvl w:val="2"/>
          <w:numId w:val="11"/>
        </w:numPr>
        <w:spacing w:line="276" w:lineRule="auto"/>
        <w:ind w:right="21"/>
        <w:jc w:val="both"/>
        <w:rPr>
          <w:rFonts w:ascii="Arial" w:hAnsi="Arial"/>
        </w:rPr>
      </w:pPr>
      <w:r w:rsidRPr="005B574F">
        <w:rPr>
          <w:rFonts w:ascii="Arial" w:hAnsi="Arial"/>
        </w:rPr>
        <w:t xml:space="preserve"> </w:t>
      </w:r>
      <w:r w:rsidR="002C0E48" w:rsidRPr="005B574F">
        <w:rPr>
          <w:rFonts w:ascii="Arial" w:hAnsi="Arial"/>
        </w:rPr>
        <w:t>w kolumnach tabel dotyczących transakcji zakupowych, zawierających oznaczenie procedury podatkowej MPP, zmienia się treść wszystkich zapisów i</w:t>
      </w:r>
      <w:r w:rsidR="00ED10C9">
        <w:rPr>
          <w:rFonts w:ascii="Arial" w:hAnsi="Arial"/>
        </w:rPr>
        <w:t> </w:t>
      </w:r>
      <w:r w:rsidR="002C0E48" w:rsidRPr="00AC6B0A">
        <w:rPr>
          <w:rFonts w:ascii="Arial" w:hAnsi="Arial"/>
        </w:rPr>
        <w:t>nadaje się im następując</w:t>
      </w:r>
      <w:r w:rsidR="002C0E48" w:rsidRPr="00A45EDC">
        <w:rPr>
          <w:rFonts w:ascii="Arial" w:hAnsi="Arial"/>
        </w:rPr>
        <w:t>e brzmienie:</w:t>
      </w:r>
    </w:p>
    <w:p w14:paraId="4DBDCA42" w14:textId="050529EF" w:rsidR="002C0E48" w:rsidRPr="00A45EDC" w:rsidRDefault="002C0E48" w:rsidP="005B574F">
      <w:pPr>
        <w:spacing w:line="276" w:lineRule="auto"/>
        <w:ind w:left="1835" w:right="21"/>
        <w:jc w:val="both"/>
        <w:rPr>
          <w:rFonts w:ascii="Arial" w:hAnsi="Arial"/>
        </w:rPr>
      </w:pPr>
    </w:p>
    <w:p w14:paraId="32267524" w14:textId="0884C98F" w:rsidR="002C0E48" w:rsidRPr="005B574F" w:rsidRDefault="002C0E48" w:rsidP="005B574F">
      <w:pPr>
        <w:spacing w:line="276" w:lineRule="auto"/>
        <w:ind w:left="2160" w:right="21"/>
        <w:jc w:val="both"/>
        <w:rPr>
          <w:rFonts w:ascii="Arial" w:hAnsi="Arial"/>
        </w:rPr>
      </w:pPr>
      <w:r w:rsidRPr="005B574F">
        <w:rPr>
          <w:rFonts w:ascii="Arial" w:hAnsi="Arial"/>
        </w:rPr>
        <w:t xml:space="preserve">„MPP – w przypadku faktur powyżej 15 tys. brutto </w:t>
      </w:r>
      <w:r w:rsidRPr="005B574F">
        <w:rPr>
          <w:rFonts w:ascii="Arial" w:hAnsi="Arial"/>
          <w:b/>
        </w:rPr>
        <w:t>wyłącznie w odniesieniu do rozliczeń do czerwca 2021 r. włącznie</w:t>
      </w:r>
      <w:r w:rsidRPr="005B574F">
        <w:rPr>
          <w:rFonts w:ascii="Arial" w:hAnsi="Arial"/>
        </w:rPr>
        <w:t>”</w:t>
      </w:r>
    </w:p>
    <w:p w14:paraId="57E6611A" w14:textId="77777777" w:rsidR="002C0E48" w:rsidRPr="005B574F" w:rsidRDefault="002C0E48" w:rsidP="005B574F">
      <w:pPr>
        <w:spacing w:line="276" w:lineRule="auto"/>
        <w:ind w:left="1835" w:right="21"/>
        <w:jc w:val="both"/>
        <w:rPr>
          <w:rFonts w:ascii="Arial" w:hAnsi="Arial"/>
        </w:rPr>
      </w:pPr>
    </w:p>
    <w:p w14:paraId="4F6BB0FA" w14:textId="6D18E40F" w:rsidR="008A5E18" w:rsidRPr="005B574F" w:rsidRDefault="00F66C32" w:rsidP="005B574F">
      <w:pPr>
        <w:numPr>
          <w:ilvl w:val="2"/>
          <w:numId w:val="11"/>
        </w:numPr>
        <w:spacing w:line="276" w:lineRule="auto"/>
        <w:ind w:right="21"/>
        <w:jc w:val="both"/>
        <w:rPr>
          <w:rFonts w:ascii="Arial" w:hAnsi="Arial"/>
        </w:rPr>
      </w:pPr>
      <w:r w:rsidRPr="005B574F">
        <w:rPr>
          <w:rFonts w:ascii="Arial" w:hAnsi="Arial"/>
        </w:rPr>
        <w:t xml:space="preserve"> w</w:t>
      </w:r>
      <w:r w:rsidR="008A5E18" w:rsidRPr="005B574F">
        <w:rPr>
          <w:rFonts w:ascii="Arial" w:hAnsi="Arial"/>
        </w:rPr>
        <w:t xml:space="preserve"> punkcie 2.1. „Transakcje sprzedażowe” Urzędu Gminy zmienia się treść opisu przedmiotu transakcji, podlegającego oznaczeniem GTU_10</w:t>
      </w:r>
      <w:r w:rsidR="002C0E48" w:rsidRPr="005B574F">
        <w:rPr>
          <w:rFonts w:ascii="Arial" w:hAnsi="Arial"/>
        </w:rPr>
        <w:t xml:space="preserve"> i nadaje się mu następujące brzmienie:</w:t>
      </w:r>
    </w:p>
    <w:p w14:paraId="659666E6" w14:textId="77777777" w:rsidR="002C0E48" w:rsidRPr="005B574F" w:rsidRDefault="002C0E48" w:rsidP="005B574F">
      <w:pPr>
        <w:spacing w:line="276" w:lineRule="auto"/>
        <w:ind w:left="1835" w:right="21"/>
        <w:jc w:val="both"/>
        <w:rPr>
          <w:rFonts w:ascii="Arial" w:hAnsi="Arial"/>
        </w:rPr>
      </w:pPr>
    </w:p>
    <w:p w14:paraId="3B7F65BF" w14:textId="0EAB8E5C" w:rsidR="007D78EE" w:rsidRPr="005B574F" w:rsidRDefault="002C0E48" w:rsidP="005B574F">
      <w:pPr>
        <w:spacing w:line="276" w:lineRule="auto"/>
        <w:ind w:left="2160" w:right="21"/>
        <w:jc w:val="both"/>
        <w:rPr>
          <w:rFonts w:ascii="Arial" w:hAnsi="Arial"/>
        </w:rPr>
      </w:pPr>
      <w:r w:rsidRPr="005B574F">
        <w:rPr>
          <w:rFonts w:ascii="Arial" w:hAnsi="Arial"/>
        </w:rPr>
        <w:t>„B</w:t>
      </w:r>
      <w:r w:rsidR="007D78EE" w:rsidRPr="005B574F">
        <w:rPr>
          <w:rFonts w:ascii="Arial" w:hAnsi="Arial"/>
        </w:rPr>
        <w:t>udynk</w:t>
      </w:r>
      <w:r w:rsidRPr="005B574F">
        <w:rPr>
          <w:rFonts w:ascii="Arial" w:hAnsi="Arial"/>
        </w:rPr>
        <w:t>i, budowle</w:t>
      </w:r>
      <w:r w:rsidR="007D78EE" w:rsidRPr="005B574F">
        <w:rPr>
          <w:rFonts w:ascii="Arial" w:hAnsi="Arial"/>
        </w:rPr>
        <w:t xml:space="preserve"> i </w:t>
      </w:r>
      <w:r w:rsidRPr="005B574F">
        <w:rPr>
          <w:rFonts w:ascii="Arial" w:hAnsi="Arial"/>
        </w:rPr>
        <w:t>grunty oraz ich części i udziały</w:t>
      </w:r>
      <w:r w:rsidR="007D78EE" w:rsidRPr="005B574F">
        <w:rPr>
          <w:rFonts w:ascii="Arial" w:hAnsi="Arial"/>
        </w:rPr>
        <w:t xml:space="preserve"> w prawie własności, w tym również zbycie praw, o których mowa w art. 7 ust. 1 ustawy o VAT</w:t>
      </w:r>
      <w:r w:rsidRPr="005B574F">
        <w:rPr>
          <w:rFonts w:ascii="Arial" w:hAnsi="Arial"/>
        </w:rPr>
        <w:t>”</w:t>
      </w:r>
    </w:p>
    <w:p w14:paraId="7B1857B9" w14:textId="0A85BA84" w:rsidR="005502E4" w:rsidRPr="005B574F" w:rsidRDefault="005502E4" w:rsidP="005B574F">
      <w:pPr>
        <w:spacing w:line="276" w:lineRule="auto"/>
        <w:ind w:left="1835" w:right="21"/>
        <w:jc w:val="both"/>
        <w:rPr>
          <w:rFonts w:ascii="Arial" w:hAnsi="Arial"/>
        </w:rPr>
      </w:pPr>
    </w:p>
    <w:p w14:paraId="7F58E79A" w14:textId="77777777" w:rsidR="00F66C32" w:rsidRPr="005B574F" w:rsidRDefault="007D78EE">
      <w:pPr>
        <w:numPr>
          <w:ilvl w:val="1"/>
          <w:numId w:val="11"/>
        </w:numPr>
        <w:spacing w:line="276" w:lineRule="auto"/>
        <w:ind w:right="21"/>
        <w:jc w:val="both"/>
        <w:rPr>
          <w:rFonts w:ascii="Arial" w:hAnsi="Arial"/>
        </w:rPr>
      </w:pPr>
      <w:r w:rsidRPr="005B574F" w:rsidDel="00FD2560">
        <w:rPr>
          <w:rFonts w:ascii="Arial" w:hAnsi="Arial"/>
        </w:rPr>
        <w:t xml:space="preserve"> </w:t>
      </w:r>
      <w:r w:rsidR="00F66C32" w:rsidRPr="005B574F">
        <w:rPr>
          <w:rFonts w:ascii="Arial" w:hAnsi="Arial"/>
        </w:rPr>
        <w:t>w części V Instrukcji JPK_V7M:</w:t>
      </w:r>
    </w:p>
    <w:p w14:paraId="10B9FBC7" w14:textId="77777777" w:rsidR="00F66C32" w:rsidRPr="005B574F" w:rsidRDefault="00F66C32">
      <w:pPr>
        <w:spacing w:line="276" w:lineRule="auto"/>
        <w:ind w:left="1115" w:right="21"/>
        <w:jc w:val="both"/>
        <w:rPr>
          <w:rFonts w:ascii="Arial" w:hAnsi="Arial"/>
        </w:rPr>
      </w:pPr>
    </w:p>
    <w:p w14:paraId="49FCCC72" w14:textId="77777777" w:rsidR="00F66C32" w:rsidRPr="005B574F" w:rsidRDefault="00F66C32">
      <w:pPr>
        <w:pStyle w:val="Akapitzlist"/>
        <w:numPr>
          <w:ilvl w:val="2"/>
          <w:numId w:val="11"/>
        </w:numPr>
        <w:spacing w:line="276" w:lineRule="auto"/>
        <w:ind w:right="21"/>
        <w:jc w:val="both"/>
        <w:rPr>
          <w:rFonts w:ascii="Arial" w:hAnsi="Arial"/>
        </w:rPr>
      </w:pPr>
      <w:r w:rsidRPr="005B574F">
        <w:rPr>
          <w:rFonts w:ascii="Arial" w:hAnsi="Arial"/>
        </w:rPr>
        <w:t xml:space="preserve"> w punkcie 1.2.5. zmienia się treść wiersza pierwszego i nadaje się mu następujące brzmienie:</w:t>
      </w:r>
    </w:p>
    <w:p w14:paraId="023C1260" w14:textId="77777777" w:rsidR="00F66C32" w:rsidRPr="005B574F" w:rsidRDefault="00F66C32">
      <w:pPr>
        <w:pStyle w:val="Akapitzlist"/>
        <w:spacing w:line="276" w:lineRule="auto"/>
        <w:ind w:left="1835" w:right="21"/>
        <w:jc w:val="both"/>
        <w:rPr>
          <w:rFonts w:ascii="Arial" w:hAnsi="Arial"/>
        </w:rPr>
      </w:pPr>
    </w:p>
    <w:p w14:paraId="5599A200" w14:textId="4739F5E9" w:rsidR="00F66C32" w:rsidRPr="005B574F" w:rsidRDefault="00F66C32">
      <w:pPr>
        <w:spacing w:line="276" w:lineRule="auto"/>
        <w:ind w:left="2160" w:right="21"/>
        <w:jc w:val="both"/>
        <w:rPr>
          <w:rFonts w:ascii="Arial" w:hAnsi="Arial"/>
        </w:rPr>
      </w:pPr>
      <w:r w:rsidRPr="005B574F">
        <w:rPr>
          <w:rFonts w:ascii="Arial" w:hAnsi="Arial"/>
        </w:rPr>
        <w:t xml:space="preserve">„Napoje alkoholowe - wniosek o wydanie opinii klasyfikacyjnej do GUS wg </w:t>
      </w:r>
      <w:r w:rsidR="00752140" w:rsidRPr="005B574F">
        <w:rPr>
          <w:rFonts w:ascii="Arial" w:hAnsi="Arial"/>
        </w:rPr>
        <w:t>PKWiU 2015</w:t>
      </w:r>
      <w:r w:rsidRPr="005B574F">
        <w:rPr>
          <w:rFonts w:ascii="Arial" w:hAnsi="Arial"/>
        </w:rPr>
        <w:t>.”</w:t>
      </w:r>
    </w:p>
    <w:p w14:paraId="01E8AB87" w14:textId="77777777" w:rsidR="00F66C32" w:rsidRPr="005B574F" w:rsidRDefault="00F66C32">
      <w:pPr>
        <w:spacing w:line="276" w:lineRule="auto"/>
        <w:ind w:right="21"/>
        <w:jc w:val="both"/>
        <w:rPr>
          <w:rFonts w:ascii="Arial" w:hAnsi="Arial"/>
        </w:rPr>
      </w:pPr>
    </w:p>
    <w:p w14:paraId="56091622" w14:textId="77777777" w:rsidR="00F66C32" w:rsidRPr="005B574F" w:rsidRDefault="00F66C32">
      <w:pPr>
        <w:pStyle w:val="Akapitzlist"/>
        <w:numPr>
          <w:ilvl w:val="2"/>
          <w:numId w:val="11"/>
        </w:numPr>
        <w:spacing w:line="276" w:lineRule="auto"/>
        <w:ind w:right="21"/>
        <w:jc w:val="both"/>
        <w:rPr>
          <w:rFonts w:ascii="Arial" w:hAnsi="Arial"/>
        </w:rPr>
      </w:pPr>
      <w:r w:rsidRPr="005B574F">
        <w:rPr>
          <w:rFonts w:ascii="Arial" w:hAnsi="Arial"/>
        </w:rPr>
        <w:t xml:space="preserve"> w punkcie 1.2.5. zmienia się treść wiersza dziesiątego i nadaje się mu następujące brzmienie:</w:t>
      </w:r>
    </w:p>
    <w:p w14:paraId="35A30A1E" w14:textId="77777777" w:rsidR="00F66C32" w:rsidRPr="005B574F" w:rsidRDefault="00F66C32">
      <w:pPr>
        <w:pStyle w:val="Akapitzlist"/>
        <w:spacing w:line="276" w:lineRule="auto"/>
        <w:ind w:left="1115" w:right="21"/>
        <w:jc w:val="both"/>
        <w:rPr>
          <w:rFonts w:ascii="Arial" w:hAnsi="Arial"/>
        </w:rPr>
      </w:pPr>
    </w:p>
    <w:p w14:paraId="4DFBE129" w14:textId="6EF1FAC6" w:rsidR="005502E4" w:rsidRPr="005B574F" w:rsidRDefault="00F66C32" w:rsidP="005B574F">
      <w:pPr>
        <w:spacing w:line="276" w:lineRule="auto"/>
        <w:ind w:left="2160" w:right="21"/>
        <w:jc w:val="both"/>
        <w:rPr>
          <w:rFonts w:ascii="Arial" w:hAnsi="Arial"/>
        </w:rPr>
      </w:pPr>
      <w:r w:rsidRPr="005B574F">
        <w:rPr>
          <w:rFonts w:ascii="Arial" w:hAnsi="Arial"/>
        </w:rPr>
        <w:t>„Budynki, budowle, grunty oraz ich części i udziałów w prawie własności, w tym również zbycie praw, o których mowa w art. 7 ust. 1 ustawy o VAT – Analiza przepisów ustawy z dnia 7 lipca 1994 r. - Prawo budowlane (pomocniczo – przepisy o VAT nie odsyłają wprost do tej ustawy).”</w:t>
      </w:r>
    </w:p>
    <w:p w14:paraId="542E6A5A" w14:textId="13B2D23E" w:rsidR="00F66C32" w:rsidRPr="005B574F" w:rsidRDefault="00F66C32" w:rsidP="005B574F">
      <w:pPr>
        <w:spacing w:line="276" w:lineRule="auto"/>
        <w:ind w:left="2160" w:right="21"/>
        <w:jc w:val="both"/>
        <w:rPr>
          <w:rFonts w:ascii="Arial" w:hAnsi="Arial"/>
        </w:rPr>
      </w:pPr>
    </w:p>
    <w:p w14:paraId="4E385C4E" w14:textId="31D848F2" w:rsidR="00F66C32" w:rsidRPr="00A45EDC" w:rsidRDefault="00F66C32" w:rsidP="005B574F">
      <w:pPr>
        <w:pStyle w:val="Akapitzlist"/>
        <w:numPr>
          <w:ilvl w:val="2"/>
          <w:numId w:val="11"/>
        </w:numPr>
        <w:spacing w:line="276" w:lineRule="auto"/>
        <w:ind w:right="21"/>
        <w:jc w:val="both"/>
        <w:rPr>
          <w:rFonts w:ascii="Arial" w:hAnsi="Arial"/>
        </w:rPr>
      </w:pPr>
      <w:r w:rsidRPr="005B574F">
        <w:rPr>
          <w:rFonts w:ascii="Arial" w:hAnsi="Arial"/>
        </w:rPr>
        <w:lastRenderedPageBreak/>
        <w:t xml:space="preserve"> zmienia się treść punktu 1.3.1. „Mechanizm podzielonej płatności” i nadaje się mu </w:t>
      </w:r>
      <w:r w:rsidR="00760CC7">
        <w:rPr>
          <w:rFonts w:ascii="Arial" w:hAnsi="Arial"/>
        </w:rPr>
        <w:t xml:space="preserve">następujące </w:t>
      </w:r>
      <w:r w:rsidRPr="00AC6B0A">
        <w:rPr>
          <w:rFonts w:ascii="Arial" w:hAnsi="Arial"/>
        </w:rPr>
        <w:t>brzmienie:</w:t>
      </w:r>
    </w:p>
    <w:p w14:paraId="0524C20B" w14:textId="6E34D98A" w:rsidR="00F66C32" w:rsidRPr="00A45EDC" w:rsidRDefault="00F66C32" w:rsidP="005B574F">
      <w:pPr>
        <w:pStyle w:val="Akapitzlist"/>
        <w:spacing w:line="276" w:lineRule="auto"/>
        <w:ind w:left="1835" w:right="21"/>
        <w:jc w:val="both"/>
        <w:rPr>
          <w:rFonts w:ascii="Arial" w:hAnsi="Arial"/>
        </w:rPr>
      </w:pPr>
    </w:p>
    <w:p w14:paraId="4A763B88" w14:textId="2578A56C" w:rsidR="00F66C32" w:rsidRPr="005B574F" w:rsidRDefault="00F66C32" w:rsidP="005B574F">
      <w:pPr>
        <w:pStyle w:val="Akapitzlist"/>
        <w:spacing w:line="276" w:lineRule="auto"/>
        <w:ind w:left="2160" w:right="21"/>
        <w:jc w:val="both"/>
        <w:rPr>
          <w:rFonts w:ascii="Arial" w:hAnsi="Arial"/>
        </w:rPr>
      </w:pPr>
      <w:r w:rsidRPr="00A45EDC">
        <w:rPr>
          <w:rFonts w:ascii="Arial" w:hAnsi="Arial"/>
        </w:rPr>
        <w:t xml:space="preserve">„1.3.1. </w:t>
      </w:r>
      <w:r w:rsidRPr="005B574F">
        <w:rPr>
          <w:rFonts w:ascii="Arial" w:hAnsi="Arial"/>
          <w:u w:val="single"/>
        </w:rPr>
        <w:t>Mechanizm podzielonej płatności</w:t>
      </w:r>
      <w:r w:rsidRPr="00AC6B0A">
        <w:rPr>
          <w:rFonts w:ascii="Arial" w:hAnsi="Arial"/>
        </w:rPr>
        <w:t>.</w:t>
      </w:r>
      <w:r w:rsidRPr="00A45EDC">
        <w:rPr>
          <w:rFonts w:ascii="Arial" w:hAnsi="Arial"/>
        </w:rPr>
        <w:t xml:space="preserve"> Począwszy od rozliczenia za lipiec 2021 r., Gmina nie stosuje oznaczenia MPP.</w:t>
      </w:r>
      <w:r w:rsidRPr="005B574F">
        <w:rPr>
          <w:rFonts w:ascii="Arial" w:hAnsi="Arial"/>
        </w:rPr>
        <w:t xml:space="preserve"> </w:t>
      </w:r>
    </w:p>
    <w:p w14:paraId="282EBD01" w14:textId="77777777" w:rsidR="00F66C32" w:rsidRPr="005B574F" w:rsidRDefault="00F66C32" w:rsidP="005B574F">
      <w:pPr>
        <w:pStyle w:val="Akapitzlist"/>
        <w:spacing w:line="276" w:lineRule="auto"/>
        <w:ind w:left="2160" w:right="21"/>
        <w:jc w:val="both"/>
        <w:rPr>
          <w:rFonts w:ascii="Arial" w:hAnsi="Arial"/>
        </w:rPr>
      </w:pPr>
    </w:p>
    <w:p w14:paraId="7C8A7026" w14:textId="0534EBA4" w:rsidR="00F66C32" w:rsidRPr="00A45EDC" w:rsidRDefault="00F66C32" w:rsidP="005B574F">
      <w:pPr>
        <w:pStyle w:val="Akapitzlist"/>
        <w:spacing w:line="276" w:lineRule="auto"/>
        <w:ind w:left="2160" w:right="21"/>
        <w:jc w:val="both"/>
        <w:rPr>
          <w:rFonts w:ascii="Arial" w:hAnsi="Arial"/>
          <w:i/>
        </w:rPr>
      </w:pPr>
      <w:r w:rsidRPr="005B574F">
        <w:rPr>
          <w:rFonts w:ascii="Arial" w:hAnsi="Arial"/>
        </w:rPr>
        <w:t xml:space="preserve">Jeśli natomiast transakcja wykazywana jest w rozliczeniu za okresy rozliczeniowe do czerwca 2021 r. włącznie i spełnia przesłanki określone w części I, pkt 5.1.1. należy zastosować oznaczenie MPP. </w:t>
      </w:r>
      <w:r w:rsidRPr="005B574F">
        <w:rPr>
          <w:rFonts w:ascii="Arial" w:hAnsi="Arial"/>
          <w:i/>
        </w:rPr>
        <w:t>Uwaga! W</w:t>
      </w:r>
      <w:r w:rsidR="00ED10C9">
        <w:rPr>
          <w:rFonts w:ascii="Arial" w:hAnsi="Arial"/>
          <w:i/>
        </w:rPr>
        <w:t> </w:t>
      </w:r>
      <w:r w:rsidRPr="005B574F">
        <w:rPr>
          <w:rFonts w:ascii="Arial" w:hAnsi="Arial"/>
          <w:i/>
        </w:rPr>
        <w:t>przypadku trudności ze stwierdzeniem, czy transakcja dotyczy towarów / usług z</w:t>
      </w:r>
      <w:r w:rsidRPr="00AC6B0A">
        <w:rPr>
          <w:rFonts w:ascii="Arial" w:hAnsi="Arial"/>
          <w:i/>
        </w:rPr>
        <w:t> </w:t>
      </w:r>
      <w:r w:rsidRPr="005B574F">
        <w:rPr>
          <w:rFonts w:ascii="Arial" w:hAnsi="Arial"/>
          <w:i/>
        </w:rPr>
        <w:t>załącznika nr 15 do ustawy o VAT, należy zwrócić się do pracownika nadzorującego transakcję, a w przypadku dalszych wątpliwości zaleca się wystąpienie o opinię klasyfikacyjną GUS (zob. pkt 1.2.7.).</w:t>
      </w:r>
      <w:r w:rsidR="001C4A64" w:rsidRPr="00AC6B0A">
        <w:rPr>
          <w:rFonts w:ascii="Arial" w:hAnsi="Arial"/>
          <w:i/>
        </w:rPr>
        <w:t>”</w:t>
      </w:r>
    </w:p>
    <w:p w14:paraId="5B76E857" w14:textId="7BBC48BD" w:rsidR="001C4A64" w:rsidRPr="005B574F" w:rsidRDefault="001C4A64" w:rsidP="005B574F">
      <w:pPr>
        <w:pStyle w:val="Akapitzlist"/>
        <w:spacing w:line="276" w:lineRule="auto"/>
        <w:ind w:left="2160" w:right="21"/>
        <w:jc w:val="both"/>
        <w:rPr>
          <w:rFonts w:ascii="Arial" w:hAnsi="Arial"/>
          <w:i/>
        </w:rPr>
      </w:pPr>
    </w:p>
    <w:p w14:paraId="013F7386" w14:textId="6B27DF80" w:rsidR="001C4A64" w:rsidRPr="00A45EDC" w:rsidRDefault="001C4A64" w:rsidP="005B574F">
      <w:pPr>
        <w:pStyle w:val="Akapitzlist"/>
        <w:numPr>
          <w:ilvl w:val="2"/>
          <w:numId w:val="11"/>
        </w:numPr>
        <w:spacing w:line="276" w:lineRule="auto"/>
        <w:ind w:right="21"/>
        <w:jc w:val="both"/>
        <w:rPr>
          <w:rFonts w:ascii="Arial" w:hAnsi="Arial"/>
        </w:rPr>
      </w:pPr>
      <w:r w:rsidRPr="005B574F">
        <w:rPr>
          <w:rFonts w:ascii="Arial" w:hAnsi="Arial"/>
        </w:rPr>
        <w:t xml:space="preserve"> zmienia się treść punktu 1.3.2. „Powiązania z innymi podmiotami” i nadaje się mu </w:t>
      </w:r>
      <w:r w:rsidR="00760CC7">
        <w:rPr>
          <w:rFonts w:ascii="Arial" w:hAnsi="Arial"/>
        </w:rPr>
        <w:t xml:space="preserve">następujące </w:t>
      </w:r>
      <w:r w:rsidRPr="00AC6B0A">
        <w:rPr>
          <w:rFonts w:ascii="Arial" w:hAnsi="Arial"/>
        </w:rPr>
        <w:t>brzmienie:</w:t>
      </w:r>
    </w:p>
    <w:p w14:paraId="5804C2B0" w14:textId="659B6A1A" w:rsidR="001C4A64" w:rsidRPr="00A45EDC" w:rsidRDefault="001C4A64" w:rsidP="005B574F">
      <w:pPr>
        <w:spacing w:line="276" w:lineRule="auto"/>
        <w:ind w:left="2160" w:right="21"/>
        <w:jc w:val="both"/>
        <w:rPr>
          <w:rFonts w:ascii="Arial" w:hAnsi="Arial"/>
        </w:rPr>
      </w:pPr>
    </w:p>
    <w:p w14:paraId="1642567E" w14:textId="0F76399F" w:rsidR="001C4A64" w:rsidRPr="005B574F" w:rsidRDefault="001C4A64" w:rsidP="005B574F">
      <w:pPr>
        <w:spacing w:line="276" w:lineRule="auto"/>
        <w:ind w:left="2160" w:right="21"/>
        <w:jc w:val="both"/>
        <w:rPr>
          <w:rFonts w:ascii="Arial" w:hAnsi="Arial"/>
        </w:rPr>
      </w:pPr>
      <w:r w:rsidRPr="00A45EDC">
        <w:rPr>
          <w:rFonts w:ascii="Arial" w:hAnsi="Arial"/>
        </w:rPr>
        <w:t xml:space="preserve">„1.3.2. </w:t>
      </w:r>
      <w:r w:rsidRPr="005B574F">
        <w:rPr>
          <w:rFonts w:ascii="Arial" w:hAnsi="Arial"/>
          <w:u w:val="single"/>
        </w:rPr>
        <w:t>Powiązania z innymi podmiotami</w:t>
      </w:r>
      <w:r w:rsidRPr="00AC6B0A">
        <w:rPr>
          <w:rFonts w:ascii="Arial" w:hAnsi="Arial"/>
        </w:rPr>
        <w:t xml:space="preserve">. Jeśli transakcja spełnia przesłanki określone w części I, pkt 5.1.2. należy zastosować oznaczenie TP. </w:t>
      </w:r>
    </w:p>
    <w:p w14:paraId="458D4CB9" w14:textId="58C52561" w:rsidR="001C4A64" w:rsidRPr="005B574F" w:rsidRDefault="001C4A64" w:rsidP="005B574F">
      <w:pPr>
        <w:spacing w:line="276" w:lineRule="auto"/>
        <w:ind w:left="2160" w:right="21"/>
        <w:jc w:val="both"/>
        <w:rPr>
          <w:rFonts w:ascii="Arial" w:hAnsi="Arial"/>
        </w:rPr>
      </w:pPr>
    </w:p>
    <w:p w14:paraId="1E37E1B7" w14:textId="575A4C79" w:rsidR="001C4A64" w:rsidRPr="005B574F" w:rsidRDefault="001C4A64" w:rsidP="005B574F">
      <w:pPr>
        <w:spacing w:line="276" w:lineRule="auto"/>
        <w:ind w:left="2160" w:right="21"/>
        <w:jc w:val="both"/>
        <w:rPr>
          <w:rFonts w:ascii="Arial" w:hAnsi="Arial"/>
        </w:rPr>
      </w:pPr>
      <w:r w:rsidRPr="005B574F">
        <w:rPr>
          <w:rFonts w:ascii="Arial" w:hAnsi="Arial"/>
        </w:rPr>
        <w:t>Począwszy od rozliczenia za lipiec 2021 r., znacznika TP nie stosuje się w</w:t>
      </w:r>
      <w:r w:rsidR="00ED10C9">
        <w:rPr>
          <w:rFonts w:ascii="Arial" w:hAnsi="Arial"/>
        </w:rPr>
        <w:t> </w:t>
      </w:r>
      <w:r w:rsidRPr="00AC6B0A">
        <w:rPr>
          <w:rFonts w:ascii="Arial" w:hAnsi="Arial"/>
        </w:rPr>
        <w:t xml:space="preserve">przypadku </w:t>
      </w:r>
      <w:r w:rsidR="001D006C" w:rsidRPr="001D006C">
        <w:rPr>
          <w:rFonts w:ascii="Arial" w:hAnsi="Arial"/>
        </w:rPr>
        <w:t>gdy powiązania między nabywcą a dokonującym dostawy towarów lub usługodawcą wynikają wyłącznie z powiązania ze Skarbem Państwa lub jednostkami samorządu terytorialnego, lub ich związkami</w:t>
      </w:r>
      <w:r w:rsidRPr="005B574F">
        <w:rPr>
          <w:rFonts w:ascii="Arial" w:hAnsi="Arial"/>
        </w:rPr>
        <w:t>.”</w:t>
      </w:r>
    </w:p>
    <w:p w14:paraId="5CDA097E" w14:textId="33AB0EC6" w:rsidR="001E2ADF" w:rsidRPr="005B574F" w:rsidRDefault="001E2ADF" w:rsidP="005B574F">
      <w:pPr>
        <w:spacing w:line="276" w:lineRule="auto"/>
        <w:ind w:left="2160" w:right="21"/>
        <w:jc w:val="both"/>
        <w:rPr>
          <w:rFonts w:ascii="Arial" w:hAnsi="Arial"/>
        </w:rPr>
      </w:pPr>
    </w:p>
    <w:p w14:paraId="4462A044" w14:textId="73B62855" w:rsidR="001E2ADF" w:rsidRPr="00A45EDC" w:rsidRDefault="001E2ADF" w:rsidP="005B574F">
      <w:pPr>
        <w:pStyle w:val="Akapitzlist"/>
        <w:numPr>
          <w:ilvl w:val="2"/>
          <w:numId w:val="11"/>
        </w:numPr>
        <w:spacing w:line="276" w:lineRule="auto"/>
        <w:ind w:right="21"/>
        <w:jc w:val="both"/>
        <w:rPr>
          <w:rFonts w:ascii="Arial" w:hAnsi="Arial"/>
        </w:rPr>
      </w:pPr>
      <w:r w:rsidRPr="005B574F">
        <w:rPr>
          <w:rFonts w:ascii="Arial" w:hAnsi="Arial"/>
        </w:rPr>
        <w:t xml:space="preserve"> zmienia się treść punktu 1.4.4. „Procedury podatkowe” i nadaje się mu </w:t>
      </w:r>
      <w:r w:rsidR="00760CC7">
        <w:rPr>
          <w:rFonts w:ascii="Arial" w:hAnsi="Arial"/>
        </w:rPr>
        <w:t xml:space="preserve">następujące </w:t>
      </w:r>
      <w:r w:rsidRPr="00AC6B0A">
        <w:rPr>
          <w:rFonts w:ascii="Arial" w:hAnsi="Arial"/>
        </w:rPr>
        <w:t>brzmienie:</w:t>
      </w:r>
    </w:p>
    <w:p w14:paraId="4F6B1C82" w14:textId="5B3198F7" w:rsidR="001E2ADF" w:rsidRPr="00A45EDC" w:rsidRDefault="001E2ADF" w:rsidP="005B574F">
      <w:pPr>
        <w:pStyle w:val="Akapitzlist"/>
        <w:spacing w:line="276" w:lineRule="auto"/>
        <w:ind w:left="1835" w:right="21"/>
        <w:jc w:val="both"/>
        <w:rPr>
          <w:rFonts w:ascii="Arial" w:hAnsi="Arial"/>
        </w:rPr>
      </w:pPr>
    </w:p>
    <w:p w14:paraId="7545379C" w14:textId="01B34A2B" w:rsidR="001E2ADF" w:rsidRPr="005B574F" w:rsidRDefault="001E2ADF" w:rsidP="005B574F">
      <w:pPr>
        <w:pStyle w:val="Akapitzlist"/>
        <w:spacing w:line="276" w:lineRule="auto"/>
        <w:ind w:left="2160" w:right="21"/>
        <w:jc w:val="both"/>
        <w:rPr>
          <w:rFonts w:ascii="Arial" w:hAnsi="Arial"/>
        </w:rPr>
      </w:pPr>
      <w:r w:rsidRPr="00A45EDC">
        <w:rPr>
          <w:rFonts w:ascii="Arial" w:hAnsi="Arial"/>
        </w:rPr>
        <w:t xml:space="preserve">„1.4.4. </w:t>
      </w:r>
      <w:r w:rsidRPr="005B574F">
        <w:rPr>
          <w:rFonts w:ascii="Arial" w:hAnsi="Arial"/>
          <w:u w:val="single"/>
        </w:rPr>
        <w:t>Procedury podatkowe</w:t>
      </w:r>
      <w:r w:rsidRPr="00AC6B0A">
        <w:rPr>
          <w:rFonts w:ascii="Arial" w:hAnsi="Arial"/>
        </w:rPr>
        <w:t>. Jeśli transakcja powinna zostać wykazana w</w:t>
      </w:r>
      <w:r w:rsidR="00ED10C9">
        <w:rPr>
          <w:rFonts w:ascii="Arial" w:hAnsi="Arial"/>
        </w:rPr>
        <w:t> </w:t>
      </w:r>
      <w:r w:rsidRPr="00AC6B0A">
        <w:rPr>
          <w:rFonts w:ascii="Arial" w:hAnsi="Arial"/>
        </w:rPr>
        <w:t>JPK_V7M za okres rozliczeniowy do czerwca 2021 r. włą</w:t>
      </w:r>
      <w:r w:rsidRPr="00A45EDC">
        <w:rPr>
          <w:rFonts w:ascii="Arial" w:hAnsi="Arial"/>
        </w:rPr>
        <w:t>cznie, mając na</w:t>
      </w:r>
      <w:r w:rsidR="001D006C">
        <w:rPr>
          <w:rFonts w:ascii="Arial" w:hAnsi="Arial"/>
        </w:rPr>
        <w:t> </w:t>
      </w:r>
      <w:r w:rsidRPr="005B574F">
        <w:rPr>
          <w:rFonts w:ascii="Arial" w:hAnsi="Arial"/>
        </w:rPr>
        <w:t>uwadze, że transakcja została udokumentowana fakturą o wartości powyżej 15 tys. PLN brutto, rozważyć należy, czy dotyczy towarów wskazanych w</w:t>
      </w:r>
      <w:r w:rsidR="001D006C">
        <w:rPr>
          <w:rFonts w:ascii="Arial" w:hAnsi="Arial"/>
        </w:rPr>
        <w:t> </w:t>
      </w:r>
      <w:r w:rsidRPr="005B574F">
        <w:rPr>
          <w:rFonts w:ascii="Arial" w:hAnsi="Arial"/>
        </w:rPr>
        <w:t xml:space="preserve">załączniku nr 15 do ustawy o VAT. Podkreślić należy, że załącznik nr 15 dotyczy co prawda części samochodowych, ale nie obejmuje dostawy samych samochodów. Tym samym, nie należy stosować oznaczenia MPP. </w:t>
      </w:r>
    </w:p>
    <w:p w14:paraId="144AAA1B" w14:textId="77777777" w:rsidR="001E2ADF" w:rsidRPr="005B574F" w:rsidRDefault="001E2ADF" w:rsidP="005B574F">
      <w:pPr>
        <w:pStyle w:val="Akapitzlist"/>
        <w:spacing w:line="276" w:lineRule="auto"/>
        <w:ind w:left="2160" w:right="21"/>
        <w:jc w:val="both"/>
        <w:rPr>
          <w:rFonts w:ascii="Arial" w:hAnsi="Arial"/>
        </w:rPr>
      </w:pPr>
    </w:p>
    <w:p w14:paraId="18C63198" w14:textId="5EE8117E" w:rsidR="001E2ADF" w:rsidRPr="005B574F" w:rsidRDefault="001E2ADF" w:rsidP="005B574F">
      <w:pPr>
        <w:pStyle w:val="Akapitzlist"/>
        <w:spacing w:line="276" w:lineRule="auto"/>
        <w:ind w:left="2160" w:right="21"/>
        <w:jc w:val="both"/>
        <w:rPr>
          <w:rFonts w:ascii="Arial" w:hAnsi="Arial"/>
        </w:rPr>
      </w:pPr>
      <w:r w:rsidRPr="005B574F">
        <w:rPr>
          <w:rFonts w:ascii="Arial" w:hAnsi="Arial"/>
        </w:rPr>
        <w:t>Niezależnie natomiast od okresu rozliczeniowego, w którym transakcja jest wykazywana, z uwagi na fakt, iż transakcję zrealizowano na rzecz spółki komunalnej, należy zastosować oznaczenie TP.”</w:t>
      </w:r>
    </w:p>
    <w:p w14:paraId="07F3FAE6" w14:textId="35ED0127" w:rsidR="001E2ADF" w:rsidRPr="005B574F" w:rsidRDefault="001E2ADF" w:rsidP="005B574F">
      <w:pPr>
        <w:pStyle w:val="Akapitzlist"/>
        <w:spacing w:line="276" w:lineRule="auto"/>
        <w:ind w:left="2160" w:right="21"/>
        <w:jc w:val="both"/>
        <w:rPr>
          <w:rFonts w:ascii="Arial" w:hAnsi="Arial"/>
        </w:rPr>
      </w:pPr>
    </w:p>
    <w:p w14:paraId="60520677" w14:textId="738382AF" w:rsidR="001E2ADF" w:rsidRPr="00A45EDC" w:rsidRDefault="001E2ADF" w:rsidP="005B574F">
      <w:pPr>
        <w:pStyle w:val="Akapitzlist"/>
        <w:numPr>
          <w:ilvl w:val="2"/>
          <w:numId w:val="11"/>
        </w:numPr>
        <w:spacing w:line="276" w:lineRule="auto"/>
        <w:ind w:right="21"/>
        <w:jc w:val="both"/>
        <w:rPr>
          <w:rFonts w:ascii="Arial" w:hAnsi="Arial"/>
        </w:rPr>
      </w:pPr>
      <w:r w:rsidRPr="005B574F">
        <w:rPr>
          <w:rFonts w:ascii="Arial" w:hAnsi="Arial"/>
        </w:rPr>
        <w:t>zmienia się treść punktu 1.5. „Schemat graficzny” w zakresie pierwszego elementu etapu 3</w:t>
      </w:r>
      <w:r w:rsidR="00752140" w:rsidRPr="005B574F">
        <w:rPr>
          <w:rFonts w:ascii="Arial" w:hAnsi="Arial"/>
        </w:rPr>
        <w:t>:</w:t>
      </w:r>
      <w:r w:rsidRPr="005B574F">
        <w:rPr>
          <w:rFonts w:ascii="Arial" w:hAnsi="Arial"/>
        </w:rPr>
        <w:t xml:space="preserve"> „Czy transakcja została udokumentowana fakturą o wartości pow. 15 tys. PLN brutto?” i nadaje się mu</w:t>
      </w:r>
      <w:r w:rsidR="00760CC7">
        <w:rPr>
          <w:rFonts w:ascii="Arial" w:hAnsi="Arial"/>
        </w:rPr>
        <w:t xml:space="preserve"> następujące</w:t>
      </w:r>
      <w:r w:rsidRPr="00AC6B0A">
        <w:rPr>
          <w:rFonts w:ascii="Arial" w:hAnsi="Arial"/>
        </w:rPr>
        <w:t xml:space="preserve"> brzmienie:</w:t>
      </w:r>
    </w:p>
    <w:p w14:paraId="2A4BA3AB" w14:textId="026F99CA" w:rsidR="001E2ADF" w:rsidRPr="00A45EDC" w:rsidRDefault="001E2ADF" w:rsidP="005B574F">
      <w:pPr>
        <w:spacing w:line="276" w:lineRule="auto"/>
        <w:ind w:left="2160" w:right="21"/>
        <w:jc w:val="both"/>
        <w:rPr>
          <w:rFonts w:ascii="Arial" w:hAnsi="Arial"/>
        </w:rPr>
      </w:pPr>
    </w:p>
    <w:p w14:paraId="0E6B9E0C" w14:textId="2E7488A8" w:rsidR="001E2ADF" w:rsidRPr="005B574F" w:rsidRDefault="001E2ADF" w:rsidP="005B574F">
      <w:pPr>
        <w:spacing w:line="276" w:lineRule="auto"/>
        <w:ind w:left="2160" w:right="21"/>
        <w:jc w:val="both"/>
        <w:rPr>
          <w:rFonts w:ascii="Arial" w:hAnsi="Arial"/>
        </w:rPr>
      </w:pPr>
      <w:r w:rsidRPr="005B574F">
        <w:rPr>
          <w:rFonts w:ascii="Arial" w:hAnsi="Arial"/>
        </w:rPr>
        <w:t xml:space="preserve">„Czy transakcja została udokumentowana fakturą o wartości pow. 15 tys. PLN brutto?* </w:t>
      </w:r>
    </w:p>
    <w:p w14:paraId="47AB6AAD" w14:textId="00F68085" w:rsidR="001E2ADF" w:rsidRPr="005B574F" w:rsidRDefault="001E2ADF" w:rsidP="005B574F">
      <w:pPr>
        <w:spacing w:line="276" w:lineRule="auto"/>
        <w:ind w:left="2160" w:right="21"/>
        <w:jc w:val="both"/>
        <w:rPr>
          <w:rFonts w:ascii="Arial" w:hAnsi="Arial"/>
          <w:i/>
        </w:rPr>
      </w:pPr>
      <w:r w:rsidRPr="005B574F">
        <w:rPr>
          <w:rFonts w:ascii="Arial" w:hAnsi="Arial"/>
          <w:i/>
        </w:rPr>
        <w:t>*dotyczy wyłącznie rozliczeń do czerwca 2021 r. włącznie”</w:t>
      </w:r>
    </w:p>
    <w:p w14:paraId="0BAD1415" w14:textId="09E83217" w:rsidR="001E2ADF" w:rsidRPr="005B574F" w:rsidRDefault="001E2ADF" w:rsidP="005B574F">
      <w:pPr>
        <w:spacing w:line="276" w:lineRule="auto"/>
        <w:ind w:left="2160" w:right="21"/>
        <w:jc w:val="both"/>
        <w:rPr>
          <w:rFonts w:ascii="Arial" w:hAnsi="Arial"/>
          <w:i/>
        </w:rPr>
      </w:pPr>
    </w:p>
    <w:p w14:paraId="2BD64DC6" w14:textId="27E36329" w:rsidR="001E2ADF" w:rsidRPr="00A45EDC" w:rsidRDefault="001E2ADF" w:rsidP="005B574F">
      <w:pPr>
        <w:pStyle w:val="Akapitzlist"/>
        <w:numPr>
          <w:ilvl w:val="2"/>
          <w:numId w:val="11"/>
        </w:numPr>
        <w:spacing w:line="276" w:lineRule="auto"/>
        <w:ind w:right="21"/>
        <w:jc w:val="both"/>
        <w:rPr>
          <w:rFonts w:ascii="Arial" w:hAnsi="Arial"/>
        </w:rPr>
      </w:pPr>
      <w:r w:rsidRPr="005B574F">
        <w:rPr>
          <w:rFonts w:ascii="Arial" w:hAnsi="Arial"/>
        </w:rPr>
        <w:t xml:space="preserve"> zmienia się treść punktu 2.3.1. „Mechanizm podzielonej płatności” i nadaje się mu </w:t>
      </w:r>
      <w:r w:rsidR="00760CC7">
        <w:rPr>
          <w:rFonts w:ascii="Arial" w:hAnsi="Arial"/>
        </w:rPr>
        <w:t xml:space="preserve">następujące </w:t>
      </w:r>
      <w:r w:rsidR="009A19AB" w:rsidRPr="00AC6B0A">
        <w:rPr>
          <w:rFonts w:ascii="Arial" w:hAnsi="Arial"/>
        </w:rPr>
        <w:t>brzmienie</w:t>
      </w:r>
      <w:r w:rsidRPr="00A45EDC">
        <w:rPr>
          <w:rFonts w:ascii="Arial" w:hAnsi="Arial"/>
        </w:rPr>
        <w:t xml:space="preserve">: </w:t>
      </w:r>
    </w:p>
    <w:p w14:paraId="29B42989" w14:textId="144DCAC2" w:rsidR="001E2ADF" w:rsidRPr="00A45EDC" w:rsidRDefault="001E2ADF" w:rsidP="005B574F">
      <w:pPr>
        <w:spacing w:line="276" w:lineRule="auto"/>
        <w:ind w:left="2160" w:right="21"/>
        <w:jc w:val="both"/>
        <w:rPr>
          <w:rFonts w:ascii="Arial" w:hAnsi="Arial"/>
        </w:rPr>
      </w:pPr>
    </w:p>
    <w:p w14:paraId="415E8159" w14:textId="77777777" w:rsidR="001E2ADF" w:rsidRPr="005B574F" w:rsidRDefault="001E2ADF">
      <w:pPr>
        <w:spacing w:line="276" w:lineRule="auto"/>
        <w:ind w:left="2160" w:right="21"/>
        <w:jc w:val="both"/>
        <w:rPr>
          <w:rFonts w:ascii="Arial" w:hAnsi="Arial"/>
        </w:rPr>
      </w:pPr>
      <w:r w:rsidRPr="005B574F">
        <w:rPr>
          <w:rFonts w:ascii="Arial" w:hAnsi="Arial"/>
        </w:rPr>
        <w:t>„2.3.1.</w:t>
      </w:r>
      <w:r w:rsidRPr="005B574F">
        <w:rPr>
          <w:rFonts w:ascii="Arial" w:hAnsi="Arial"/>
        </w:rPr>
        <w:tab/>
      </w:r>
      <w:r w:rsidRPr="005B574F">
        <w:rPr>
          <w:rFonts w:ascii="Arial" w:hAnsi="Arial"/>
          <w:u w:val="single"/>
        </w:rPr>
        <w:t>Mechanizm podzielonej płatności</w:t>
      </w:r>
      <w:r w:rsidRPr="00AC6B0A">
        <w:rPr>
          <w:rFonts w:ascii="Arial" w:hAnsi="Arial"/>
        </w:rPr>
        <w:t xml:space="preserve">. Począwszy od rozliczenia za lipiec 2021 r., Gmina nie stosuje oznaczenia MPP. </w:t>
      </w:r>
    </w:p>
    <w:p w14:paraId="6195187C" w14:textId="77777777" w:rsidR="001E2ADF" w:rsidRPr="005B574F" w:rsidRDefault="001E2ADF">
      <w:pPr>
        <w:spacing w:line="276" w:lineRule="auto"/>
        <w:ind w:left="2160" w:right="21"/>
        <w:jc w:val="both"/>
        <w:rPr>
          <w:rFonts w:ascii="Arial" w:hAnsi="Arial"/>
        </w:rPr>
      </w:pPr>
    </w:p>
    <w:p w14:paraId="076832F8" w14:textId="4A8D5EC7" w:rsidR="001E2ADF" w:rsidRPr="00A45EDC" w:rsidRDefault="001E2ADF" w:rsidP="005B574F">
      <w:pPr>
        <w:spacing w:line="276" w:lineRule="auto"/>
        <w:ind w:left="2160" w:right="21"/>
        <w:jc w:val="both"/>
        <w:rPr>
          <w:rFonts w:ascii="Arial" w:hAnsi="Arial"/>
          <w:i/>
        </w:rPr>
      </w:pPr>
      <w:r w:rsidRPr="005B574F">
        <w:rPr>
          <w:rFonts w:ascii="Arial" w:hAnsi="Arial"/>
        </w:rPr>
        <w:t xml:space="preserve">Jeśli natomiast transakcja wykazywana jest w rozliczeniu za okresy rozliczeniowe do czerwca 2021 r. włącznie i jednocześnie spełnia przesłanki, o których mowa w cz. I, pkt 5.2.1., należy stosować oznaczenie MPP. </w:t>
      </w:r>
      <w:r w:rsidRPr="005B574F">
        <w:rPr>
          <w:rFonts w:ascii="Arial" w:hAnsi="Arial"/>
          <w:i/>
        </w:rPr>
        <w:t>Uwaga! W przypadku trudności ze stwierdzeniem, czy transakcja dotyczy towarów / usług z załącznika nr 15 do ustawy o VAT, należy zwrócić pomocniczo uwagę na oznaczenia stosowane na fakturze przez kontrahenta, a jeśli to nie</w:t>
      </w:r>
      <w:r w:rsidR="00A45EDC">
        <w:rPr>
          <w:rFonts w:ascii="Arial" w:hAnsi="Arial"/>
          <w:i/>
        </w:rPr>
        <w:t> </w:t>
      </w:r>
      <w:r w:rsidRPr="005B574F">
        <w:rPr>
          <w:rFonts w:ascii="Arial" w:hAnsi="Arial"/>
          <w:i/>
        </w:rPr>
        <w:t>przyniesie efektu – podjąć próbę kontaktu z kontrahentem. W przypadku dalszych wątpliwości, zaleca się wystąpienie o opinię klasyfikacyjną GUS (zob.</w:t>
      </w:r>
      <w:r w:rsidR="00A45EDC">
        <w:rPr>
          <w:rFonts w:ascii="Arial" w:hAnsi="Arial"/>
          <w:i/>
        </w:rPr>
        <w:t> </w:t>
      </w:r>
      <w:r w:rsidRPr="005B574F">
        <w:rPr>
          <w:rFonts w:ascii="Arial" w:hAnsi="Arial"/>
          <w:i/>
        </w:rPr>
        <w:t>pkt 1.2.7.).</w:t>
      </w:r>
      <w:r w:rsidRPr="00AC6B0A">
        <w:rPr>
          <w:rFonts w:ascii="Arial" w:hAnsi="Arial"/>
          <w:i/>
        </w:rPr>
        <w:t>”</w:t>
      </w:r>
    </w:p>
    <w:p w14:paraId="5AA4CE0D" w14:textId="7F81BAE9" w:rsidR="009A19AB" w:rsidRPr="005B574F" w:rsidRDefault="009A19AB" w:rsidP="005B574F">
      <w:pPr>
        <w:spacing w:line="276" w:lineRule="auto"/>
        <w:ind w:left="2160" w:right="21"/>
        <w:jc w:val="both"/>
        <w:rPr>
          <w:rFonts w:ascii="Arial" w:hAnsi="Arial"/>
          <w:i/>
        </w:rPr>
      </w:pPr>
    </w:p>
    <w:p w14:paraId="438CCEBA" w14:textId="4D246FDA" w:rsidR="00081E27" w:rsidRPr="005B574F" w:rsidRDefault="009A19AB" w:rsidP="005B574F">
      <w:pPr>
        <w:pStyle w:val="Akapitzlist"/>
        <w:numPr>
          <w:ilvl w:val="2"/>
          <w:numId w:val="11"/>
        </w:numPr>
        <w:spacing w:line="276" w:lineRule="auto"/>
        <w:ind w:right="21"/>
        <w:jc w:val="both"/>
        <w:rPr>
          <w:rFonts w:ascii="Arial" w:hAnsi="Arial"/>
          <w:i/>
        </w:rPr>
      </w:pPr>
      <w:r w:rsidRPr="005B574F">
        <w:rPr>
          <w:rFonts w:ascii="Arial" w:hAnsi="Arial"/>
        </w:rPr>
        <w:t xml:space="preserve"> zmienia się treść punktu 2.4.3. „Procedury podatkowe” i nadaje się mu</w:t>
      </w:r>
      <w:r w:rsidR="00760CC7">
        <w:rPr>
          <w:rFonts w:ascii="Arial" w:hAnsi="Arial"/>
        </w:rPr>
        <w:t xml:space="preserve"> następujące</w:t>
      </w:r>
      <w:r w:rsidRPr="00AC6B0A">
        <w:rPr>
          <w:rFonts w:ascii="Arial" w:hAnsi="Arial"/>
        </w:rPr>
        <w:t xml:space="preserve"> brzmienie:</w:t>
      </w:r>
    </w:p>
    <w:p w14:paraId="3C65439A" w14:textId="23FAFDF8" w:rsidR="00081E27" w:rsidRPr="00AC6B0A" w:rsidRDefault="00081E27" w:rsidP="005B574F">
      <w:pPr>
        <w:spacing w:line="276" w:lineRule="auto"/>
        <w:ind w:left="1835" w:right="21"/>
        <w:jc w:val="both"/>
        <w:rPr>
          <w:rFonts w:ascii="Arial" w:hAnsi="Arial"/>
        </w:rPr>
      </w:pPr>
    </w:p>
    <w:p w14:paraId="6EEDD2EE" w14:textId="2CF7A9E4" w:rsidR="00081E27" w:rsidRPr="00A45EDC" w:rsidRDefault="00081E27" w:rsidP="005B574F">
      <w:pPr>
        <w:spacing w:line="276" w:lineRule="auto"/>
        <w:ind w:left="2160" w:right="21"/>
        <w:jc w:val="both"/>
        <w:rPr>
          <w:rFonts w:ascii="Arial" w:hAnsi="Arial"/>
        </w:rPr>
      </w:pPr>
      <w:r w:rsidRPr="00A45EDC">
        <w:rPr>
          <w:rFonts w:ascii="Arial" w:hAnsi="Arial"/>
        </w:rPr>
        <w:t>„2.4.3.</w:t>
      </w:r>
      <w:r w:rsidRPr="00A45EDC">
        <w:rPr>
          <w:rFonts w:ascii="Arial" w:hAnsi="Arial"/>
        </w:rPr>
        <w:tab/>
      </w:r>
      <w:r w:rsidRPr="005B574F">
        <w:rPr>
          <w:rFonts w:ascii="Arial" w:hAnsi="Arial"/>
          <w:u w:val="single"/>
        </w:rPr>
        <w:t>Procedury podatkowe</w:t>
      </w:r>
      <w:r w:rsidRPr="00AC6B0A">
        <w:rPr>
          <w:rFonts w:ascii="Arial" w:hAnsi="Arial"/>
        </w:rPr>
        <w:t>. Transakcja została udokumentowana fakturą o</w:t>
      </w:r>
      <w:r w:rsidR="009D4E55">
        <w:rPr>
          <w:rFonts w:ascii="Arial" w:hAnsi="Arial"/>
        </w:rPr>
        <w:t> </w:t>
      </w:r>
      <w:r w:rsidRPr="00AC6B0A">
        <w:rPr>
          <w:rFonts w:ascii="Arial" w:hAnsi="Arial"/>
        </w:rPr>
        <w:t>wartości powyżej 15 tys. PLN brutto, jednak w przypadku importu usług brak jest wykazani</w:t>
      </w:r>
      <w:r w:rsidRPr="005B574F">
        <w:rPr>
          <w:rFonts w:ascii="Arial" w:hAnsi="Arial"/>
        </w:rPr>
        <w:t>a na fakturze kwoty VAT, przez co</w:t>
      </w:r>
      <w:r w:rsidR="0023398C" w:rsidRPr="005B574F">
        <w:rPr>
          <w:rFonts w:ascii="Arial" w:hAnsi="Arial"/>
        </w:rPr>
        <w:t xml:space="preserve"> </w:t>
      </w:r>
      <w:r w:rsidRPr="005B574F">
        <w:rPr>
          <w:rFonts w:ascii="Arial" w:hAnsi="Arial"/>
        </w:rPr>
        <w:t>do tego typu transakcji nie stosuje się mechanizmu podzielonej płatności, niezależnie od tego, czy przedmiot transakcji objęty jest załącznikiem nr 15 do ustawy o VAT (nie stosuje się też oznaczenia MPP)</w:t>
      </w:r>
      <w:r w:rsidR="0023398C" w:rsidRPr="005B574F">
        <w:rPr>
          <w:rFonts w:ascii="Arial" w:hAnsi="Arial"/>
        </w:rPr>
        <w:t xml:space="preserve"> i niezależnie od okresu rozliczeniowego, w</w:t>
      </w:r>
      <w:r w:rsidR="009D4E55">
        <w:rPr>
          <w:rFonts w:ascii="Arial" w:hAnsi="Arial"/>
        </w:rPr>
        <w:t> </w:t>
      </w:r>
      <w:r w:rsidR="0023398C" w:rsidRPr="00AC6B0A">
        <w:rPr>
          <w:rFonts w:ascii="Arial" w:hAnsi="Arial"/>
        </w:rPr>
        <w:t>którym transakcja jest wykazywana</w:t>
      </w:r>
      <w:r w:rsidRPr="00A45EDC">
        <w:rPr>
          <w:rFonts w:ascii="Arial" w:hAnsi="Arial"/>
        </w:rPr>
        <w:t>. Ponadto, transakcja co prawda została zrealizowana z podmiotem zagranicznym, niemniej dotyczy importu usług, a</w:t>
      </w:r>
      <w:r w:rsidR="009D4E55">
        <w:rPr>
          <w:rFonts w:ascii="Arial" w:hAnsi="Arial"/>
        </w:rPr>
        <w:t> </w:t>
      </w:r>
      <w:r w:rsidRPr="00AC6B0A">
        <w:rPr>
          <w:rFonts w:ascii="Arial" w:hAnsi="Arial"/>
        </w:rPr>
        <w:t>nie towarów. Nie stosuje się zatem oznaczenia IMP.</w:t>
      </w:r>
    </w:p>
    <w:p w14:paraId="116F8C0B" w14:textId="7F5C3804" w:rsidR="00752140" w:rsidRPr="005B574F" w:rsidRDefault="00752140" w:rsidP="005B574F">
      <w:pPr>
        <w:spacing w:line="276" w:lineRule="auto"/>
        <w:ind w:left="2160" w:right="21"/>
        <w:jc w:val="both"/>
        <w:rPr>
          <w:rFonts w:ascii="Arial" w:hAnsi="Arial"/>
        </w:rPr>
      </w:pPr>
    </w:p>
    <w:p w14:paraId="5459DCA7" w14:textId="084D7BA1" w:rsidR="00752140" w:rsidRPr="00A45EDC" w:rsidRDefault="00752140">
      <w:pPr>
        <w:pStyle w:val="Akapitzlist"/>
        <w:numPr>
          <w:ilvl w:val="2"/>
          <w:numId w:val="11"/>
        </w:numPr>
        <w:spacing w:line="276" w:lineRule="auto"/>
        <w:ind w:right="21"/>
        <w:jc w:val="both"/>
        <w:rPr>
          <w:rFonts w:ascii="Arial" w:hAnsi="Arial"/>
        </w:rPr>
      </w:pPr>
      <w:r w:rsidRPr="005B574F">
        <w:rPr>
          <w:rFonts w:ascii="Arial" w:hAnsi="Arial"/>
        </w:rPr>
        <w:t>zmienia się treść punktu 2.5. „Schemat graficzny” w zakresie pierwszego elementu etapu 3: „Czy transakcja została udokumentowana fakturą o wartości pow. 15 tys. PLN brutto?” i nadaje się mu</w:t>
      </w:r>
      <w:r w:rsidR="00760CC7" w:rsidRPr="00760CC7">
        <w:rPr>
          <w:rFonts w:ascii="Arial" w:hAnsi="Arial"/>
        </w:rPr>
        <w:t xml:space="preserve"> </w:t>
      </w:r>
      <w:r w:rsidR="00760CC7">
        <w:rPr>
          <w:rFonts w:ascii="Arial" w:hAnsi="Arial"/>
        </w:rPr>
        <w:t>następujące</w:t>
      </w:r>
      <w:r w:rsidRPr="00AC6B0A">
        <w:rPr>
          <w:rFonts w:ascii="Arial" w:hAnsi="Arial"/>
        </w:rPr>
        <w:t xml:space="preserve"> brzmienie:</w:t>
      </w:r>
    </w:p>
    <w:p w14:paraId="1672DEDE" w14:textId="77777777" w:rsidR="00752140" w:rsidRPr="005B574F" w:rsidRDefault="00752140">
      <w:pPr>
        <w:spacing w:line="276" w:lineRule="auto"/>
        <w:ind w:left="2160" w:right="21"/>
        <w:jc w:val="both"/>
        <w:rPr>
          <w:rFonts w:ascii="Arial" w:hAnsi="Arial"/>
        </w:rPr>
      </w:pPr>
    </w:p>
    <w:p w14:paraId="4FDCA937" w14:textId="77777777" w:rsidR="00752140" w:rsidRPr="005B574F" w:rsidRDefault="00752140">
      <w:pPr>
        <w:spacing w:line="276" w:lineRule="auto"/>
        <w:ind w:left="2160" w:right="21"/>
        <w:jc w:val="both"/>
        <w:rPr>
          <w:rFonts w:ascii="Arial" w:hAnsi="Arial"/>
        </w:rPr>
      </w:pPr>
      <w:r w:rsidRPr="005B574F">
        <w:rPr>
          <w:rFonts w:ascii="Arial" w:hAnsi="Arial"/>
        </w:rPr>
        <w:t xml:space="preserve">„Czy transakcja została udokumentowana fakturą o wartości pow. 15 tys. PLN brutto?* </w:t>
      </w:r>
    </w:p>
    <w:p w14:paraId="0FDDF03C" w14:textId="45658F6B" w:rsidR="00752140" w:rsidRPr="005B574F" w:rsidRDefault="00752140" w:rsidP="005B574F">
      <w:pPr>
        <w:spacing w:line="276" w:lineRule="auto"/>
        <w:ind w:left="2160" w:right="21"/>
        <w:jc w:val="both"/>
        <w:rPr>
          <w:rFonts w:ascii="Arial" w:hAnsi="Arial"/>
          <w:i/>
        </w:rPr>
      </w:pPr>
      <w:r w:rsidRPr="005B574F">
        <w:rPr>
          <w:rFonts w:ascii="Arial" w:hAnsi="Arial"/>
          <w:i/>
        </w:rPr>
        <w:t>*dotyczy wyłącznie rozliczeń do czerwca 2021 r. włącznie”</w:t>
      </w:r>
    </w:p>
    <w:p w14:paraId="1759DE63" w14:textId="0AD1351F" w:rsidR="00752140" w:rsidRPr="005B574F" w:rsidRDefault="00752140" w:rsidP="005B574F">
      <w:pPr>
        <w:spacing w:line="276" w:lineRule="auto"/>
        <w:ind w:right="21"/>
        <w:jc w:val="both"/>
        <w:rPr>
          <w:rFonts w:ascii="Arial" w:hAnsi="Arial"/>
          <w:i/>
        </w:rPr>
      </w:pPr>
    </w:p>
    <w:p w14:paraId="16EF9B77" w14:textId="77777777" w:rsidR="00752140" w:rsidRPr="005B574F" w:rsidRDefault="00752140" w:rsidP="005B574F">
      <w:pPr>
        <w:spacing w:line="276" w:lineRule="auto"/>
        <w:ind w:right="21"/>
        <w:jc w:val="both"/>
        <w:rPr>
          <w:rFonts w:ascii="Arial" w:hAnsi="Arial"/>
          <w:i/>
        </w:rPr>
      </w:pPr>
    </w:p>
    <w:p w14:paraId="1A457E25" w14:textId="146A1EAA" w:rsidR="00752140" w:rsidRPr="005B574F" w:rsidRDefault="00752140">
      <w:pPr>
        <w:pStyle w:val="Akapitzlist"/>
        <w:numPr>
          <w:ilvl w:val="1"/>
          <w:numId w:val="11"/>
        </w:numPr>
        <w:spacing w:line="276" w:lineRule="auto"/>
        <w:ind w:right="21"/>
        <w:jc w:val="both"/>
        <w:rPr>
          <w:rFonts w:ascii="Arial" w:hAnsi="Arial"/>
        </w:rPr>
      </w:pPr>
      <w:r w:rsidRPr="00AC6B0A">
        <w:rPr>
          <w:rFonts w:ascii="Arial" w:hAnsi="Arial"/>
        </w:rPr>
        <w:t>w załączniku nr 3 do Instrukcji JPK_V7M opisom szczegółowym wymienionych oznaczeń GTU nadaje się następujące brzmienie:</w:t>
      </w:r>
    </w:p>
    <w:p w14:paraId="7705054A" w14:textId="77777777" w:rsidR="00752140" w:rsidRPr="005B574F" w:rsidRDefault="00752140" w:rsidP="005B574F">
      <w:pPr>
        <w:pStyle w:val="Akapitzlist"/>
        <w:spacing w:line="276" w:lineRule="auto"/>
        <w:ind w:left="1115" w:right="21"/>
        <w:jc w:val="both"/>
        <w:rPr>
          <w:rFonts w:ascii="Arial" w:hAnsi="Arial"/>
        </w:rPr>
      </w:pPr>
    </w:p>
    <w:p w14:paraId="16A8DC66" w14:textId="115AB7FF" w:rsidR="00752140" w:rsidRPr="005B574F" w:rsidRDefault="008F6F83" w:rsidP="005B574F">
      <w:pPr>
        <w:pStyle w:val="Akapitzlist"/>
        <w:numPr>
          <w:ilvl w:val="2"/>
          <w:numId w:val="11"/>
        </w:numPr>
        <w:spacing w:line="276" w:lineRule="auto"/>
        <w:ind w:right="21"/>
        <w:jc w:val="both"/>
        <w:rPr>
          <w:rFonts w:ascii="Arial" w:hAnsi="Arial"/>
        </w:rPr>
      </w:pPr>
      <w:r w:rsidRPr="005B574F">
        <w:rPr>
          <w:rFonts w:ascii="Arial" w:hAnsi="Arial"/>
        </w:rPr>
        <w:t xml:space="preserve"> </w:t>
      </w:r>
      <w:r w:rsidR="00752140" w:rsidRPr="005B574F">
        <w:rPr>
          <w:rFonts w:ascii="Arial" w:hAnsi="Arial"/>
        </w:rPr>
        <w:t>„GTU_01 –</w:t>
      </w:r>
      <w:r w:rsidR="00AE29E1" w:rsidRPr="005B574F">
        <w:rPr>
          <w:rFonts w:ascii="Arial" w:hAnsi="Arial"/>
        </w:rPr>
        <w:t xml:space="preserve"> Napoje alkoholowe – </w:t>
      </w:r>
      <w:r w:rsidR="00752140" w:rsidRPr="005B574F">
        <w:rPr>
          <w:rFonts w:ascii="Arial" w:hAnsi="Arial"/>
        </w:rPr>
        <w:t xml:space="preserve">Dostawa napojów alkoholowych o zawartości alkoholu powyżej 1,2%, piwa oraz napojów alkoholowych będących mieszaniną piwa i napojów bezalkoholowych, w których zawartość alkoholu przekracza 0,5%, </w:t>
      </w:r>
      <w:r w:rsidR="00AE29E1" w:rsidRPr="005B574F">
        <w:rPr>
          <w:rFonts w:ascii="Arial" w:hAnsi="Arial"/>
        </w:rPr>
        <w:t>(CN od 2202 do 2208).”</w:t>
      </w:r>
    </w:p>
    <w:p w14:paraId="4908F66C" w14:textId="358AF98F" w:rsidR="008F6F83" w:rsidRPr="005B574F" w:rsidRDefault="008F6F83" w:rsidP="005B574F">
      <w:pPr>
        <w:spacing w:line="276" w:lineRule="auto"/>
        <w:ind w:right="21"/>
        <w:jc w:val="both"/>
        <w:rPr>
          <w:rFonts w:ascii="Arial" w:hAnsi="Arial"/>
        </w:rPr>
      </w:pPr>
    </w:p>
    <w:p w14:paraId="2F94C388" w14:textId="2F192D5E" w:rsidR="008F6F83" w:rsidRPr="005B574F" w:rsidRDefault="008F6F83" w:rsidP="005B574F">
      <w:pPr>
        <w:pStyle w:val="Akapitzlist"/>
        <w:numPr>
          <w:ilvl w:val="2"/>
          <w:numId w:val="11"/>
        </w:numPr>
        <w:spacing w:line="276" w:lineRule="auto"/>
        <w:ind w:right="21"/>
        <w:jc w:val="both"/>
        <w:rPr>
          <w:rFonts w:ascii="Arial" w:hAnsi="Arial"/>
        </w:rPr>
      </w:pPr>
      <w:r w:rsidRPr="005B574F">
        <w:rPr>
          <w:rFonts w:ascii="Arial" w:hAnsi="Arial"/>
        </w:rPr>
        <w:t xml:space="preserve"> „GTU_0</w:t>
      </w:r>
      <w:r w:rsidR="00AE29E1" w:rsidRPr="005B574F">
        <w:rPr>
          <w:rFonts w:ascii="Arial" w:hAnsi="Arial"/>
        </w:rPr>
        <w:t>3</w:t>
      </w:r>
      <w:r w:rsidRPr="005B574F">
        <w:rPr>
          <w:rFonts w:ascii="Arial" w:hAnsi="Arial"/>
        </w:rPr>
        <w:t xml:space="preserve"> –</w:t>
      </w:r>
      <w:r w:rsidR="00AE29E1" w:rsidRPr="005B574F">
        <w:rPr>
          <w:rFonts w:ascii="Arial" w:hAnsi="Arial"/>
        </w:rPr>
        <w:t xml:space="preserve"> Benzyny, oleje napędowe, paliwa – </w:t>
      </w:r>
      <w:r w:rsidR="008601B4" w:rsidRPr="005B574F">
        <w:rPr>
          <w:rFonts w:ascii="Arial" w:hAnsi="Arial"/>
        </w:rPr>
        <w:t>Dostawa olejów opałowych nieobjętych oznaczeniem GTU_02, olejów smarowych i pozostałych olejów (CN od 2710 19 71 do 2710 19 83 i CN od 2710 19 87 do 2710 19 99, z wyłączeniem smarów plastycznych zaliczonych do kodu CN 2710 19 99), olejów smarowych (CN 2710 20 90) oraz preparatów smarowych (CN 3403, z wyłączeniem smarów plastycznych objętych tą pozycją)</w:t>
      </w:r>
      <w:r w:rsidR="00AE29E1" w:rsidRPr="005B574F">
        <w:rPr>
          <w:rFonts w:ascii="Arial" w:hAnsi="Arial"/>
        </w:rPr>
        <w:t>.”</w:t>
      </w:r>
    </w:p>
    <w:p w14:paraId="13E7CAE6" w14:textId="77777777" w:rsidR="00AE29E1" w:rsidRPr="005B574F" w:rsidRDefault="00AE29E1" w:rsidP="005B574F">
      <w:pPr>
        <w:pStyle w:val="Akapitzlist"/>
        <w:spacing w:line="276" w:lineRule="auto"/>
        <w:jc w:val="both"/>
        <w:rPr>
          <w:rFonts w:ascii="Arial" w:hAnsi="Arial"/>
        </w:rPr>
      </w:pPr>
    </w:p>
    <w:p w14:paraId="58FD991D" w14:textId="2399BD8D" w:rsidR="00AE29E1" w:rsidRPr="00A45EDC" w:rsidRDefault="00AE29E1" w:rsidP="005B574F">
      <w:pPr>
        <w:pStyle w:val="Akapitzlist"/>
        <w:numPr>
          <w:ilvl w:val="2"/>
          <w:numId w:val="11"/>
        </w:numPr>
        <w:spacing w:line="276" w:lineRule="auto"/>
        <w:ind w:right="21"/>
        <w:jc w:val="both"/>
        <w:rPr>
          <w:rFonts w:ascii="Arial" w:hAnsi="Arial"/>
        </w:rPr>
      </w:pPr>
      <w:r w:rsidRPr="00AC6B0A">
        <w:rPr>
          <w:rFonts w:ascii="Arial" w:hAnsi="Arial"/>
        </w:rPr>
        <w:t xml:space="preserve"> „GTU_10 – Budynki, budowle, grunty oraz ich części i udziałów w prawie własności, w tym również zbycie praw, o których mowa w art. 7 ust. 1 ustawy o</w:t>
      </w:r>
      <w:r w:rsidR="009D4E55">
        <w:rPr>
          <w:rFonts w:ascii="Arial" w:hAnsi="Arial"/>
        </w:rPr>
        <w:t> </w:t>
      </w:r>
      <w:r w:rsidRPr="00AC6B0A">
        <w:rPr>
          <w:rFonts w:ascii="Arial" w:hAnsi="Arial"/>
        </w:rPr>
        <w:t>VAT</w:t>
      </w:r>
      <w:r w:rsidRPr="00A45EDC">
        <w:rPr>
          <w:rFonts w:ascii="Arial" w:hAnsi="Arial"/>
        </w:rPr>
        <w:t xml:space="preserve"> – Dostawa budynków, budowli i gruntów oraz ich części i udziałów w prawie własności, w tym również zbycie praw, o których mowa w art. 7</w:t>
      </w:r>
      <w:r w:rsidRPr="005B574F">
        <w:rPr>
          <w:rFonts w:ascii="Arial" w:hAnsi="Arial"/>
        </w:rPr>
        <w:t xml:space="preserve"> ust. 1 ustawy o</w:t>
      </w:r>
      <w:r w:rsidR="009D4E55">
        <w:rPr>
          <w:rFonts w:ascii="Arial" w:hAnsi="Arial"/>
        </w:rPr>
        <w:t> </w:t>
      </w:r>
      <w:r w:rsidRPr="00AC6B0A">
        <w:rPr>
          <w:rFonts w:ascii="Arial" w:hAnsi="Arial"/>
        </w:rPr>
        <w:t>VAT.”</w:t>
      </w:r>
    </w:p>
    <w:p w14:paraId="4364C119" w14:textId="77777777" w:rsidR="00AE29E1" w:rsidRPr="005B574F" w:rsidRDefault="00AE29E1" w:rsidP="005B574F">
      <w:pPr>
        <w:pStyle w:val="Akapitzlist"/>
        <w:spacing w:line="276" w:lineRule="auto"/>
        <w:jc w:val="both"/>
        <w:rPr>
          <w:rFonts w:ascii="Arial" w:hAnsi="Arial"/>
        </w:rPr>
      </w:pPr>
    </w:p>
    <w:p w14:paraId="13648695" w14:textId="77D0F807" w:rsidR="00AE29E1" w:rsidRPr="00A45EDC" w:rsidRDefault="00AE29E1" w:rsidP="005B574F">
      <w:pPr>
        <w:pStyle w:val="Akapitzlist"/>
        <w:numPr>
          <w:ilvl w:val="2"/>
          <w:numId w:val="11"/>
        </w:numPr>
        <w:spacing w:line="276" w:lineRule="auto"/>
        <w:jc w:val="both"/>
        <w:rPr>
          <w:rFonts w:ascii="Arial" w:hAnsi="Arial"/>
        </w:rPr>
      </w:pPr>
      <w:r w:rsidRPr="00AC6B0A">
        <w:rPr>
          <w:rFonts w:ascii="Arial" w:hAnsi="Arial"/>
        </w:rPr>
        <w:t xml:space="preserve"> „GTU_12 – Usługi o charakterze niematerialnym – Świadczenie usług o</w:t>
      </w:r>
      <w:r w:rsidR="009D4E55">
        <w:rPr>
          <w:rFonts w:ascii="Arial" w:hAnsi="Arial"/>
        </w:rPr>
        <w:t> </w:t>
      </w:r>
      <w:r w:rsidRPr="00AC6B0A">
        <w:rPr>
          <w:rFonts w:ascii="Arial" w:hAnsi="Arial"/>
        </w:rPr>
        <w:t xml:space="preserve">charakterze niematerialnym – wyłącznie: </w:t>
      </w:r>
    </w:p>
    <w:p w14:paraId="128BC844" w14:textId="77777777" w:rsidR="00AE29E1" w:rsidRPr="005B574F" w:rsidRDefault="00AE29E1" w:rsidP="005B574F">
      <w:pPr>
        <w:pStyle w:val="Akapitzlist"/>
        <w:spacing w:line="276" w:lineRule="auto"/>
        <w:jc w:val="both"/>
        <w:rPr>
          <w:rFonts w:ascii="Arial" w:hAnsi="Arial"/>
        </w:rPr>
      </w:pPr>
    </w:p>
    <w:p w14:paraId="12D1C7AA" w14:textId="327F08A0" w:rsidR="00AE29E1" w:rsidRPr="00AC6B0A" w:rsidRDefault="00AE29E1" w:rsidP="005B574F">
      <w:pPr>
        <w:pStyle w:val="Akapitzlist"/>
        <w:numPr>
          <w:ilvl w:val="0"/>
          <w:numId w:val="30"/>
        </w:numPr>
        <w:spacing w:line="276" w:lineRule="auto"/>
        <w:jc w:val="both"/>
        <w:rPr>
          <w:rFonts w:ascii="Arial" w:hAnsi="Arial"/>
        </w:rPr>
      </w:pPr>
      <w:r w:rsidRPr="00AC6B0A">
        <w:rPr>
          <w:rFonts w:ascii="Arial" w:hAnsi="Arial"/>
        </w:rPr>
        <w:t xml:space="preserve">doradczych, w tym doradztwa prawnego i podatkowego oraz doradztwa związanego z zarządzaniem (PKWiU 62.02.1, </w:t>
      </w:r>
      <w:r w:rsidRPr="005B574F">
        <w:rPr>
          <w:rFonts w:ascii="Arial" w:hAnsi="Arial"/>
        </w:rPr>
        <w:t>62.02.2, 66.19.91, 69.20.3, 70.22.11, 70.22.12, 70.22.13, 70.22.14, 70.22.15, 70.22.16, 70.22.3, 71.11.24, 71.11.42, 71.12.11, 71.12.31,</w:t>
      </w:r>
      <w:r w:rsidR="0048510A">
        <w:rPr>
          <w:rFonts w:ascii="Arial" w:hAnsi="Arial"/>
        </w:rPr>
        <w:t xml:space="preserve"> 74.90.13, 74.90.15, 74.90.19);</w:t>
      </w:r>
    </w:p>
    <w:p w14:paraId="4644994D" w14:textId="50C90161" w:rsidR="00AE29E1" w:rsidRPr="00AC6B0A" w:rsidRDefault="00AE29E1" w:rsidP="005B574F">
      <w:pPr>
        <w:pStyle w:val="Akapitzlist"/>
        <w:numPr>
          <w:ilvl w:val="0"/>
          <w:numId w:val="30"/>
        </w:numPr>
        <w:spacing w:line="276" w:lineRule="auto"/>
        <w:jc w:val="both"/>
        <w:rPr>
          <w:rFonts w:ascii="Arial" w:hAnsi="Arial"/>
        </w:rPr>
      </w:pPr>
      <w:r w:rsidRPr="00A45EDC">
        <w:rPr>
          <w:rFonts w:ascii="Arial" w:hAnsi="Arial"/>
        </w:rPr>
        <w:t>w zakresie rachunkowości i audytu finans</w:t>
      </w:r>
      <w:r w:rsidR="0048510A">
        <w:rPr>
          <w:rFonts w:ascii="Arial" w:hAnsi="Arial"/>
        </w:rPr>
        <w:t>owego (PKWiU 69.20.1, 69.20.2);</w:t>
      </w:r>
    </w:p>
    <w:p w14:paraId="07774D2A" w14:textId="7BC61F32" w:rsidR="00AE29E1" w:rsidRPr="00AC6B0A" w:rsidRDefault="0048510A" w:rsidP="005B574F">
      <w:pPr>
        <w:pStyle w:val="Akapitzlist"/>
        <w:numPr>
          <w:ilvl w:val="0"/>
          <w:numId w:val="30"/>
        </w:numPr>
        <w:spacing w:line="276" w:lineRule="auto"/>
        <w:jc w:val="both"/>
        <w:rPr>
          <w:rFonts w:ascii="Arial" w:hAnsi="Arial"/>
        </w:rPr>
      </w:pPr>
      <w:r>
        <w:rPr>
          <w:rFonts w:ascii="Arial" w:hAnsi="Arial"/>
        </w:rPr>
        <w:t>prawnych (PKWiU 69.1);</w:t>
      </w:r>
    </w:p>
    <w:p w14:paraId="257BA227" w14:textId="15520F5E" w:rsidR="00AE29E1" w:rsidRPr="00AC6B0A" w:rsidRDefault="00AE29E1" w:rsidP="005B574F">
      <w:pPr>
        <w:pStyle w:val="Akapitzlist"/>
        <w:numPr>
          <w:ilvl w:val="0"/>
          <w:numId w:val="30"/>
        </w:numPr>
        <w:spacing w:line="276" w:lineRule="auto"/>
        <w:jc w:val="both"/>
        <w:rPr>
          <w:rFonts w:ascii="Arial" w:hAnsi="Arial"/>
        </w:rPr>
      </w:pPr>
      <w:r w:rsidRPr="00AC6B0A">
        <w:rPr>
          <w:rFonts w:ascii="Arial" w:hAnsi="Arial"/>
        </w:rPr>
        <w:t xml:space="preserve">zarządczych (PKWiU 62.03, 63.11.12, 66.11.19, 66.30, 68.32, 69.20.4, </w:t>
      </w:r>
      <w:r w:rsidR="0048510A">
        <w:rPr>
          <w:rFonts w:ascii="Arial" w:hAnsi="Arial"/>
        </w:rPr>
        <w:t>70.22.17, 70.22.2, 90.02.19.1);</w:t>
      </w:r>
    </w:p>
    <w:p w14:paraId="47B9B3E0" w14:textId="04C95E95" w:rsidR="00AE29E1" w:rsidRPr="00AC6B0A" w:rsidRDefault="0048510A" w:rsidP="005B574F">
      <w:pPr>
        <w:pStyle w:val="Akapitzlist"/>
        <w:numPr>
          <w:ilvl w:val="0"/>
          <w:numId w:val="30"/>
        </w:numPr>
        <w:spacing w:line="276" w:lineRule="auto"/>
        <w:jc w:val="both"/>
        <w:rPr>
          <w:rFonts w:ascii="Arial" w:hAnsi="Arial"/>
        </w:rPr>
      </w:pPr>
      <w:r>
        <w:rPr>
          <w:rFonts w:ascii="Arial" w:hAnsi="Arial"/>
        </w:rPr>
        <w:t>firm centralnych (PKWiU 70.1);</w:t>
      </w:r>
    </w:p>
    <w:p w14:paraId="56A5CFB1" w14:textId="35C85C12" w:rsidR="00AE29E1" w:rsidRPr="00AC6B0A" w:rsidRDefault="00AE29E1" w:rsidP="005B574F">
      <w:pPr>
        <w:pStyle w:val="Akapitzlist"/>
        <w:numPr>
          <w:ilvl w:val="0"/>
          <w:numId w:val="30"/>
        </w:numPr>
        <w:spacing w:line="276" w:lineRule="auto"/>
        <w:jc w:val="both"/>
        <w:rPr>
          <w:rFonts w:ascii="Arial" w:hAnsi="Arial"/>
        </w:rPr>
      </w:pPr>
      <w:r w:rsidRPr="00A45EDC">
        <w:rPr>
          <w:rFonts w:ascii="Arial" w:hAnsi="Arial"/>
        </w:rPr>
        <w:t>marketingowyc</w:t>
      </w:r>
      <w:r w:rsidR="0048510A">
        <w:rPr>
          <w:rFonts w:ascii="Arial" w:hAnsi="Arial"/>
        </w:rPr>
        <w:t>h lub reklamowych (PKWiU 73.1);</w:t>
      </w:r>
    </w:p>
    <w:p w14:paraId="37C18E4A" w14:textId="651F3F80" w:rsidR="00AE29E1" w:rsidRPr="00AC6B0A" w:rsidRDefault="00AE29E1" w:rsidP="005B574F">
      <w:pPr>
        <w:pStyle w:val="Akapitzlist"/>
        <w:numPr>
          <w:ilvl w:val="0"/>
          <w:numId w:val="30"/>
        </w:numPr>
        <w:spacing w:line="276" w:lineRule="auto"/>
        <w:jc w:val="both"/>
        <w:rPr>
          <w:rFonts w:ascii="Arial" w:hAnsi="Arial"/>
        </w:rPr>
      </w:pPr>
      <w:r w:rsidRPr="00A45EDC">
        <w:rPr>
          <w:rFonts w:ascii="Arial" w:hAnsi="Arial"/>
        </w:rPr>
        <w:t xml:space="preserve">badania rynku i </w:t>
      </w:r>
      <w:r w:rsidR="0048510A">
        <w:rPr>
          <w:rFonts w:ascii="Arial" w:hAnsi="Arial"/>
        </w:rPr>
        <w:t>opinii publicznej (PKWiU 73.2);</w:t>
      </w:r>
    </w:p>
    <w:p w14:paraId="1CC835B9" w14:textId="3E074F23" w:rsidR="00AE29E1" w:rsidRPr="00AC6B0A" w:rsidRDefault="00AE29E1" w:rsidP="005B574F">
      <w:pPr>
        <w:pStyle w:val="Akapitzlist"/>
        <w:numPr>
          <w:ilvl w:val="0"/>
          <w:numId w:val="30"/>
        </w:numPr>
        <w:spacing w:line="276" w:lineRule="auto"/>
        <w:jc w:val="both"/>
        <w:rPr>
          <w:rFonts w:ascii="Arial" w:hAnsi="Arial"/>
        </w:rPr>
      </w:pPr>
      <w:r w:rsidRPr="00A45EDC">
        <w:rPr>
          <w:rFonts w:ascii="Arial" w:hAnsi="Arial"/>
        </w:rPr>
        <w:t>w zakresie badań naukowyc</w:t>
      </w:r>
      <w:r w:rsidR="0048510A">
        <w:rPr>
          <w:rFonts w:ascii="Arial" w:hAnsi="Arial"/>
        </w:rPr>
        <w:t>h i prac rozwojowych (PKWiU 72);</w:t>
      </w:r>
    </w:p>
    <w:p w14:paraId="4F8BEE7B" w14:textId="496C69DB" w:rsidR="00AE29E1" w:rsidRPr="005B574F" w:rsidRDefault="00AE29E1" w:rsidP="005B574F">
      <w:pPr>
        <w:pStyle w:val="Akapitzlist"/>
        <w:numPr>
          <w:ilvl w:val="0"/>
          <w:numId w:val="30"/>
        </w:numPr>
        <w:spacing w:line="276" w:lineRule="auto"/>
        <w:jc w:val="both"/>
        <w:rPr>
          <w:rFonts w:ascii="Arial" w:hAnsi="Arial"/>
        </w:rPr>
      </w:pPr>
      <w:r w:rsidRPr="005B574F">
        <w:rPr>
          <w:rFonts w:ascii="Arial" w:hAnsi="Arial"/>
        </w:rPr>
        <w:t>w zakresie pozaszkolnych form edukacji (PKWiU 85.5).”</w:t>
      </w:r>
    </w:p>
    <w:p w14:paraId="136C78D8" w14:textId="10450E4D" w:rsidR="00AE29E1" w:rsidRPr="00AE29E1" w:rsidRDefault="00AE29E1" w:rsidP="005B574F">
      <w:pPr>
        <w:spacing w:line="276" w:lineRule="auto"/>
        <w:ind w:right="21"/>
        <w:jc w:val="both"/>
        <w:rPr>
          <w:rFonts w:ascii="Arial" w:hAnsi="Arial"/>
          <w:szCs w:val="22"/>
        </w:rPr>
      </w:pPr>
    </w:p>
    <w:p w14:paraId="376E8D5A" w14:textId="3223520F" w:rsidR="00AA45F3" w:rsidRDefault="00AA45F3">
      <w:pPr>
        <w:pStyle w:val="Akapitzlist"/>
        <w:spacing w:line="276" w:lineRule="auto"/>
        <w:ind w:left="1115" w:right="21"/>
        <w:jc w:val="both"/>
        <w:rPr>
          <w:rFonts w:ascii="Arial" w:hAnsi="Arial"/>
          <w:szCs w:val="22"/>
        </w:rPr>
      </w:pPr>
    </w:p>
    <w:p w14:paraId="100FE2EB" w14:textId="77777777" w:rsidR="005B574F" w:rsidRPr="005B574F" w:rsidRDefault="005B574F" w:rsidP="005B574F">
      <w:pPr>
        <w:pStyle w:val="Akapitzlist"/>
        <w:spacing w:line="276" w:lineRule="auto"/>
        <w:ind w:left="1115" w:right="21"/>
        <w:jc w:val="both"/>
        <w:rPr>
          <w:rFonts w:ascii="Arial" w:hAnsi="Arial"/>
          <w:szCs w:val="22"/>
        </w:rPr>
      </w:pPr>
    </w:p>
    <w:p w14:paraId="432B9221" w14:textId="2149FD96" w:rsidR="00D9194C" w:rsidRPr="005B574F" w:rsidRDefault="009F1617" w:rsidP="005B574F">
      <w:pPr>
        <w:pStyle w:val="Akapitzlist"/>
        <w:numPr>
          <w:ilvl w:val="0"/>
          <w:numId w:val="11"/>
        </w:numPr>
        <w:spacing w:line="276" w:lineRule="auto"/>
        <w:ind w:left="567" w:right="21" w:hanging="567"/>
        <w:jc w:val="both"/>
        <w:rPr>
          <w:rFonts w:ascii="Arial" w:hAnsi="Arial"/>
          <w:szCs w:val="22"/>
        </w:rPr>
      </w:pPr>
      <w:bookmarkStart w:id="1" w:name="_Hlk10631388"/>
      <w:bookmarkStart w:id="2" w:name="_Hlk10629714"/>
      <w:r w:rsidRPr="005B574F">
        <w:rPr>
          <w:rFonts w:ascii="Arial" w:hAnsi="Arial"/>
          <w:szCs w:val="22"/>
        </w:rPr>
        <w:t>Zobowiązać</w:t>
      </w:r>
      <w:r w:rsidR="002213F5" w:rsidRPr="005B574F">
        <w:rPr>
          <w:rFonts w:ascii="Arial" w:hAnsi="Arial"/>
          <w:szCs w:val="22"/>
        </w:rPr>
        <w:t xml:space="preserve"> Skarbnika oraz</w:t>
      </w:r>
      <w:r w:rsidRPr="005B574F">
        <w:rPr>
          <w:rFonts w:ascii="Arial" w:hAnsi="Arial"/>
          <w:szCs w:val="22"/>
        </w:rPr>
        <w:t xml:space="preserve"> kierowników jednostek budżetowych </w:t>
      </w:r>
      <w:r w:rsidR="007F19B5" w:rsidRPr="005B574F">
        <w:rPr>
          <w:rFonts w:ascii="Arial" w:hAnsi="Arial"/>
          <w:szCs w:val="22"/>
        </w:rPr>
        <w:t xml:space="preserve">Gminy </w:t>
      </w:r>
      <w:r w:rsidR="006D180E" w:rsidRPr="005B574F">
        <w:rPr>
          <w:rFonts w:ascii="Arial" w:hAnsi="Arial"/>
          <w:szCs w:val="22"/>
        </w:rPr>
        <w:t xml:space="preserve">Wilkowice </w:t>
      </w:r>
      <w:r w:rsidRPr="005B574F">
        <w:rPr>
          <w:rFonts w:ascii="Arial" w:hAnsi="Arial"/>
          <w:szCs w:val="22"/>
        </w:rPr>
        <w:t>do</w:t>
      </w:r>
      <w:r w:rsidR="005B574F">
        <w:rPr>
          <w:rFonts w:ascii="Arial" w:hAnsi="Arial"/>
          <w:szCs w:val="22"/>
        </w:rPr>
        <w:t xml:space="preserve"> </w:t>
      </w:r>
      <w:r w:rsidRPr="005B574F">
        <w:rPr>
          <w:rFonts w:ascii="Arial" w:hAnsi="Arial"/>
          <w:szCs w:val="22"/>
        </w:rPr>
        <w:t>realizacji</w:t>
      </w:r>
      <w:r w:rsidR="00F81C93" w:rsidRPr="005B574F">
        <w:rPr>
          <w:rFonts w:ascii="Arial" w:hAnsi="Arial"/>
          <w:szCs w:val="22"/>
        </w:rPr>
        <w:t xml:space="preserve"> zmian w stosowaniu Instrukcji JPK_V7M określonych</w:t>
      </w:r>
      <w:r w:rsidR="00512572" w:rsidRPr="005B574F">
        <w:rPr>
          <w:rFonts w:ascii="Arial" w:hAnsi="Arial"/>
          <w:szCs w:val="22"/>
        </w:rPr>
        <w:t xml:space="preserve"> </w:t>
      </w:r>
      <w:r w:rsidR="00971F0E" w:rsidRPr="005B574F">
        <w:rPr>
          <w:rFonts w:ascii="Arial" w:hAnsi="Arial"/>
          <w:szCs w:val="22"/>
        </w:rPr>
        <w:t>w </w:t>
      </w:r>
      <w:r w:rsidR="00F81C93" w:rsidRPr="005B574F">
        <w:rPr>
          <w:rFonts w:ascii="Arial" w:hAnsi="Arial"/>
          <w:szCs w:val="22"/>
        </w:rPr>
        <w:t>niniejszym zarządzeniu</w:t>
      </w:r>
      <w:r w:rsidR="00AF03F5" w:rsidRPr="005B574F">
        <w:rPr>
          <w:rFonts w:ascii="Arial" w:hAnsi="Arial"/>
          <w:szCs w:val="22"/>
        </w:rPr>
        <w:t>.</w:t>
      </w:r>
      <w:r w:rsidR="004854EC" w:rsidRPr="005B574F">
        <w:rPr>
          <w:rFonts w:ascii="Arial" w:hAnsi="Arial"/>
          <w:szCs w:val="22"/>
        </w:rPr>
        <w:t xml:space="preserve"> </w:t>
      </w:r>
    </w:p>
    <w:bookmarkEnd w:id="1"/>
    <w:p w14:paraId="387D07BD" w14:textId="77777777" w:rsidR="00576FA8" w:rsidRPr="006D180E" w:rsidRDefault="00576FA8" w:rsidP="005B574F">
      <w:pPr>
        <w:spacing w:line="276" w:lineRule="auto"/>
        <w:ind w:right="21"/>
        <w:jc w:val="both"/>
        <w:rPr>
          <w:rFonts w:ascii="Arial" w:hAnsi="Arial"/>
          <w:szCs w:val="22"/>
        </w:rPr>
      </w:pPr>
    </w:p>
    <w:p w14:paraId="70F0AAEB" w14:textId="77777777" w:rsidR="00255BB6" w:rsidRPr="006D180E" w:rsidRDefault="00255BB6">
      <w:pPr>
        <w:spacing w:line="276" w:lineRule="auto"/>
        <w:ind w:right="21"/>
        <w:jc w:val="center"/>
        <w:rPr>
          <w:rFonts w:ascii="Arial" w:hAnsi="Arial"/>
          <w:b/>
          <w:szCs w:val="22"/>
        </w:rPr>
      </w:pPr>
    </w:p>
    <w:p w14:paraId="19868FB9" w14:textId="0A621C9F" w:rsidR="00261A9B" w:rsidRPr="006D180E" w:rsidRDefault="00261A9B">
      <w:pPr>
        <w:spacing w:line="276" w:lineRule="auto"/>
        <w:ind w:right="21"/>
        <w:jc w:val="center"/>
        <w:rPr>
          <w:rFonts w:ascii="Arial" w:hAnsi="Arial"/>
          <w:b/>
          <w:szCs w:val="22"/>
        </w:rPr>
      </w:pPr>
      <w:r w:rsidRPr="006D180E">
        <w:rPr>
          <w:rFonts w:ascii="Arial" w:hAnsi="Arial"/>
          <w:b/>
          <w:szCs w:val="22"/>
        </w:rPr>
        <w:t xml:space="preserve">§ </w:t>
      </w:r>
      <w:r w:rsidR="000D2E07" w:rsidRPr="006D180E">
        <w:rPr>
          <w:rFonts w:ascii="Arial" w:hAnsi="Arial"/>
          <w:b/>
          <w:szCs w:val="22"/>
        </w:rPr>
        <w:t>3</w:t>
      </w:r>
    </w:p>
    <w:bookmarkEnd w:id="2"/>
    <w:p w14:paraId="5A446A8C" w14:textId="77777777" w:rsidR="00412D4E" w:rsidRPr="006D180E" w:rsidRDefault="00412D4E">
      <w:pPr>
        <w:spacing w:line="276" w:lineRule="auto"/>
        <w:ind w:right="21"/>
        <w:rPr>
          <w:rFonts w:ascii="Arial" w:hAnsi="Arial"/>
          <w:szCs w:val="22"/>
        </w:rPr>
      </w:pPr>
    </w:p>
    <w:p w14:paraId="0DB85B7F" w14:textId="64C69EDF" w:rsidR="001C29D0" w:rsidRPr="006D180E" w:rsidRDefault="002213F5">
      <w:pPr>
        <w:spacing w:line="276" w:lineRule="auto"/>
        <w:ind w:right="21"/>
        <w:jc w:val="both"/>
        <w:rPr>
          <w:rFonts w:ascii="Arial" w:hAnsi="Arial"/>
          <w:szCs w:val="22"/>
        </w:rPr>
      </w:pPr>
      <w:r w:rsidRPr="006D180E">
        <w:rPr>
          <w:rFonts w:ascii="Arial" w:hAnsi="Arial"/>
          <w:szCs w:val="22"/>
        </w:rPr>
        <w:t xml:space="preserve">Niniejsze zarządzenie należy traktować jako jeden z elementów polityki rachunkowości Gminy </w:t>
      </w:r>
      <w:r w:rsidR="004341A5">
        <w:rPr>
          <w:rFonts w:ascii="Arial" w:hAnsi="Arial"/>
          <w:szCs w:val="22"/>
        </w:rPr>
        <w:t xml:space="preserve">Wilkowice </w:t>
      </w:r>
      <w:r w:rsidRPr="006D180E">
        <w:rPr>
          <w:rFonts w:ascii="Arial" w:hAnsi="Arial"/>
          <w:szCs w:val="22"/>
        </w:rPr>
        <w:t>i jej jednostek budżetowych.</w:t>
      </w:r>
    </w:p>
    <w:p w14:paraId="749ADA6B" w14:textId="77777777" w:rsidR="000D2E07" w:rsidRPr="006D180E" w:rsidRDefault="000D2E07">
      <w:pPr>
        <w:spacing w:line="276" w:lineRule="auto"/>
        <w:ind w:right="21"/>
        <w:jc w:val="both"/>
        <w:rPr>
          <w:rFonts w:ascii="Arial" w:hAnsi="Arial"/>
          <w:szCs w:val="22"/>
        </w:rPr>
      </w:pPr>
    </w:p>
    <w:p w14:paraId="73BA3F6B" w14:textId="77777777" w:rsidR="000D2E07" w:rsidRPr="006D180E" w:rsidRDefault="000D2E07">
      <w:pPr>
        <w:spacing w:line="276" w:lineRule="auto"/>
        <w:ind w:right="21"/>
        <w:jc w:val="center"/>
        <w:rPr>
          <w:rFonts w:ascii="Arial" w:hAnsi="Arial"/>
          <w:b/>
          <w:szCs w:val="22"/>
        </w:rPr>
      </w:pPr>
      <w:r w:rsidRPr="006D180E">
        <w:rPr>
          <w:rFonts w:ascii="Arial" w:hAnsi="Arial"/>
          <w:b/>
          <w:szCs w:val="22"/>
        </w:rPr>
        <w:t>§ 4</w:t>
      </w:r>
    </w:p>
    <w:p w14:paraId="4B1FD226" w14:textId="77777777" w:rsidR="00412D4E" w:rsidRPr="006D180E" w:rsidRDefault="00412D4E">
      <w:pPr>
        <w:spacing w:line="276" w:lineRule="auto"/>
        <w:ind w:right="21"/>
        <w:rPr>
          <w:rFonts w:ascii="Arial" w:hAnsi="Arial"/>
          <w:szCs w:val="22"/>
        </w:rPr>
      </w:pPr>
    </w:p>
    <w:p w14:paraId="1ECDD366" w14:textId="77777777" w:rsidR="00E96C5C" w:rsidRPr="006D180E" w:rsidRDefault="00E96C5C">
      <w:pPr>
        <w:spacing w:after="37" w:line="276" w:lineRule="auto"/>
        <w:ind w:right="17"/>
        <w:jc w:val="both"/>
        <w:rPr>
          <w:rFonts w:ascii="Arial" w:hAnsi="Arial"/>
          <w:szCs w:val="22"/>
        </w:rPr>
      </w:pPr>
      <w:r w:rsidRPr="006D180E">
        <w:rPr>
          <w:rFonts w:ascii="Arial" w:hAnsi="Arial"/>
          <w:szCs w:val="22"/>
        </w:rPr>
        <w:t>Zarządzenie wchodzi w życie z dniem podpisania.</w:t>
      </w:r>
    </w:p>
    <w:p w14:paraId="5933B07E" w14:textId="77777777" w:rsidR="009F6712" w:rsidRDefault="009F6712">
      <w:pPr>
        <w:spacing w:line="276" w:lineRule="auto"/>
        <w:ind w:right="21"/>
        <w:rPr>
          <w:rFonts w:ascii="Arial" w:hAnsi="Arial"/>
          <w:sz w:val="22"/>
          <w:szCs w:val="22"/>
        </w:rPr>
      </w:pPr>
    </w:p>
    <w:p w14:paraId="2F06B3B5" w14:textId="77777777" w:rsidR="000244D8" w:rsidRDefault="000244D8">
      <w:pPr>
        <w:spacing w:line="276" w:lineRule="auto"/>
        <w:ind w:right="21"/>
        <w:rPr>
          <w:rFonts w:ascii="Arial" w:hAnsi="Arial"/>
          <w:sz w:val="22"/>
          <w:szCs w:val="22"/>
        </w:rPr>
      </w:pPr>
    </w:p>
    <w:p w14:paraId="2F28E9BE" w14:textId="77777777" w:rsidR="000244D8" w:rsidRDefault="000244D8">
      <w:pPr>
        <w:spacing w:line="276" w:lineRule="auto"/>
        <w:ind w:right="21"/>
        <w:rPr>
          <w:rFonts w:ascii="Arial" w:hAnsi="Arial"/>
          <w:sz w:val="22"/>
          <w:szCs w:val="22"/>
        </w:rPr>
      </w:pPr>
    </w:p>
    <w:sectPr w:rsidR="000244D8" w:rsidSect="0099110E">
      <w:pgSz w:w="11900" w:h="16840"/>
      <w:pgMar w:top="1417" w:right="1417" w:bottom="1417" w:left="1417" w:header="0" w:footer="613"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1C99E" w14:textId="77777777" w:rsidR="002D6109" w:rsidRDefault="002D6109" w:rsidP="00AB2AFC">
      <w:r>
        <w:separator/>
      </w:r>
    </w:p>
  </w:endnote>
  <w:endnote w:type="continuationSeparator" w:id="0">
    <w:p w14:paraId="77AC5776" w14:textId="77777777" w:rsidR="002D6109" w:rsidRDefault="002D6109" w:rsidP="00AB2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lgan Gothic">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A413C" w14:textId="77777777" w:rsidR="002D6109" w:rsidRDefault="002D6109" w:rsidP="00AB2AFC">
      <w:r>
        <w:separator/>
      </w:r>
    </w:p>
  </w:footnote>
  <w:footnote w:type="continuationSeparator" w:id="0">
    <w:p w14:paraId="2D89B6FE" w14:textId="77777777" w:rsidR="002D6109" w:rsidRDefault="002D6109" w:rsidP="00AB2A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784C"/>
    <w:multiLevelType w:val="hybridMultilevel"/>
    <w:tmpl w:val="D0E0D25A"/>
    <w:lvl w:ilvl="0" w:tplc="A64E706C">
      <w:start w:val="1"/>
      <w:numFmt w:val="decimal"/>
      <w:lvlText w:val="%1."/>
      <w:lvlJc w:val="left"/>
      <w:pPr>
        <w:ind w:left="395" w:hanging="360"/>
      </w:pPr>
      <w:rPr>
        <w:rFonts w:hint="default"/>
      </w:rPr>
    </w:lvl>
    <w:lvl w:ilvl="1" w:tplc="04150019" w:tentative="1">
      <w:start w:val="1"/>
      <w:numFmt w:val="lowerLetter"/>
      <w:lvlText w:val="%2."/>
      <w:lvlJc w:val="left"/>
      <w:pPr>
        <w:ind w:left="1115" w:hanging="360"/>
      </w:pPr>
    </w:lvl>
    <w:lvl w:ilvl="2" w:tplc="0415001B" w:tentative="1">
      <w:start w:val="1"/>
      <w:numFmt w:val="lowerRoman"/>
      <w:lvlText w:val="%3."/>
      <w:lvlJc w:val="right"/>
      <w:pPr>
        <w:ind w:left="1835" w:hanging="180"/>
      </w:pPr>
    </w:lvl>
    <w:lvl w:ilvl="3" w:tplc="0415000F" w:tentative="1">
      <w:start w:val="1"/>
      <w:numFmt w:val="decimal"/>
      <w:lvlText w:val="%4."/>
      <w:lvlJc w:val="left"/>
      <w:pPr>
        <w:ind w:left="2555" w:hanging="360"/>
      </w:pPr>
    </w:lvl>
    <w:lvl w:ilvl="4" w:tplc="04150019" w:tentative="1">
      <w:start w:val="1"/>
      <w:numFmt w:val="lowerLetter"/>
      <w:lvlText w:val="%5."/>
      <w:lvlJc w:val="left"/>
      <w:pPr>
        <w:ind w:left="3275" w:hanging="360"/>
      </w:pPr>
    </w:lvl>
    <w:lvl w:ilvl="5" w:tplc="0415001B" w:tentative="1">
      <w:start w:val="1"/>
      <w:numFmt w:val="lowerRoman"/>
      <w:lvlText w:val="%6."/>
      <w:lvlJc w:val="right"/>
      <w:pPr>
        <w:ind w:left="3995" w:hanging="180"/>
      </w:pPr>
    </w:lvl>
    <w:lvl w:ilvl="6" w:tplc="0415000F" w:tentative="1">
      <w:start w:val="1"/>
      <w:numFmt w:val="decimal"/>
      <w:lvlText w:val="%7."/>
      <w:lvlJc w:val="left"/>
      <w:pPr>
        <w:ind w:left="4715" w:hanging="360"/>
      </w:pPr>
    </w:lvl>
    <w:lvl w:ilvl="7" w:tplc="04150019" w:tentative="1">
      <w:start w:val="1"/>
      <w:numFmt w:val="lowerLetter"/>
      <w:lvlText w:val="%8."/>
      <w:lvlJc w:val="left"/>
      <w:pPr>
        <w:ind w:left="5435" w:hanging="360"/>
      </w:pPr>
    </w:lvl>
    <w:lvl w:ilvl="8" w:tplc="0415001B" w:tentative="1">
      <w:start w:val="1"/>
      <w:numFmt w:val="lowerRoman"/>
      <w:lvlText w:val="%9."/>
      <w:lvlJc w:val="right"/>
      <w:pPr>
        <w:ind w:left="6155" w:hanging="180"/>
      </w:pPr>
    </w:lvl>
  </w:abstractNum>
  <w:abstractNum w:abstractNumId="1" w15:restartNumberingAfterBreak="0">
    <w:nsid w:val="04891F9E"/>
    <w:multiLevelType w:val="hybridMultilevel"/>
    <w:tmpl w:val="347602FE"/>
    <w:lvl w:ilvl="0" w:tplc="6EAE62DA">
      <w:start w:val="1"/>
      <w:numFmt w:val="decimal"/>
      <w:lvlText w:val="§%1."/>
      <w:lvlJc w:val="left"/>
      <w:pPr>
        <w:ind w:left="755" w:hanging="360"/>
      </w:pPr>
      <w:rPr>
        <w:rFonts w:hint="default"/>
      </w:rPr>
    </w:lvl>
    <w:lvl w:ilvl="1" w:tplc="04150019" w:tentative="1">
      <w:start w:val="1"/>
      <w:numFmt w:val="lowerLetter"/>
      <w:lvlText w:val="%2."/>
      <w:lvlJc w:val="left"/>
      <w:pPr>
        <w:ind w:left="1475" w:hanging="360"/>
      </w:pPr>
    </w:lvl>
    <w:lvl w:ilvl="2" w:tplc="0415001B" w:tentative="1">
      <w:start w:val="1"/>
      <w:numFmt w:val="lowerRoman"/>
      <w:lvlText w:val="%3."/>
      <w:lvlJc w:val="right"/>
      <w:pPr>
        <w:ind w:left="2195" w:hanging="180"/>
      </w:pPr>
    </w:lvl>
    <w:lvl w:ilvl="3" w:tplc="0415000F" w:tentative="1">
      <w:start w:val="1"/>
      <w:numFmt w:val="decimal"/>
      <w:lvlText w:val="%4."/>
      <w:lvlJc w:val="left"/>
      <w:pPr>
        <w:ind w:left="2915" w:hanging="360"/>
      </w:pPr>
    </w:lvl>
    <w:lvl w:ilvl="4" w:tplc="04150019" w:tentative="1">
      <w:start w:val="1"/>
      <w:numFmt w:val="lowerLetter"/>
      <w:lvlText w:val="%5."/>
      <w:lvlJc w:val="left"/>
      <w:pPr>
        <w:ind w:left="3635" w:hanging="360"/>
      </w:pPr>
    </w:lvl>
    <w:lvl w:ilvl="5" w:tplc="0415001B" w:tentative="1">
      <w:start w:val="1"/>
      <w:numFmt w:val="lowerRoman"/>
      <w:lvlText w:val="%6."/>
      <w:lvlJc w:val="right"/>
      <w:pPr>
        <w:ind w:left="4355" w:hanging="180"/>
      </w:pPr>
    </w:lvl>
    <w:lvl w:ilvl="6" w:tplc="0415000F" w:tentative="1">
      <w:start w:val="1"/>
      <w:numFmt w:val="decimal"/>
      <w:lvlText w:val="%7."/>
      <w:lvlJc w:val="left"/>
      <w:pPr>
        <w:ind w:left="5075" w:hanging="360"/>
      </w:pPr>
    </w:lvl>
    <w:lvl w:ilvl="7" w:tplc="04150019" w:tentative="1">
      <w:start w:val="1"/>
      <w:numFmt w:val="lowerLetter"/>
      <w:lvlText w:val="%8."/>
      <w:lvlJc w:val="left"/>
      <w:pPr>
        <w:ind w:left="5795" w:hanging="360"/>
      </w:pPr>
    </w:lvl>
    <w:lvl w:ilvl="8" w:tplc="0415001B" w:tentative="1">
      <w:start w:val="1"/>
      <w:numFmt w:val="lowerRoman"/>
      <w:lvlText w:val="%9."/>
      <w:lvlJc w:val="right"/>
      <w:pPr>
        <w:ind w:left="6515" w:hanging="180"/>
      </w:pPr>
    </w:lvl>
  </w:abstractNum>
  <w:abstractNum w:abstractNumId="2" w15:restartNumberingAfterBreak="0">
    <w:nsid w:val="0DC04370"/>
    <w:multiLevelType w:val="hybridMultilevel"/>
    <w:tmpl w:val="AE42B118"/>
    <w:lvl w:ilvl="0" w:tplc="8B769904">
      <w:start w:val="1"/>
      <w:numFmt w:val="decimal"/>
      <w:lvlText w:val="%1."/>
      <w:lvlJc w:val="left"/>
      <w:pPr>
        <w:ind w:left="396" w:firstLine="0"/>
      </w:pPr>
      <w:rPr>
        <w:rFonts w:ascii="Times New Roman" w:eastAsia="Calibri" w:hAnsi="Times New Roman" w:cs="Times New Roman"/>
        <w:b w:val="0"/>
        <w:i w:val="0"/>
        <w:strike w:val="0"/>
        <w:dstrike w:val="0"/>
        <w:color w:val="000000"/>
        <w:sz w:val="22"/>
        <w:szCs w:val="26"/>
        <w:u w:val="none" w:color="000000"/>
        <w:effect w:val="none"/>
        <w:bdr w:val="none" w:sz="0" w:space="0" w:color="auto" w:frame="1"/>
        <w:vertAlign w:val="baseline"/>
      </w:rPr>
    </w:lvl>
    <w:lvl w:ilvl="1" w:tplc="C3AAF2D4">
      <w:start w:val="1"/>
      <w:numFmt w:val="lowerLetter"/>
      <w:lvlText w:val="%2"/>
      <w:lvlJc w:val="left"/>
      <w:pPr>
        <w:ind w:left="1091" w:firstLine="0"/>
      </w:pPr>
      <w:rPr>
        <w:rFonts w:ascii="Malgan Gothic" w:eastAsia="Malgan Gothic" w:hAnsi="Malgan Gothic" w:cs="Malgan Gothic"/>
        <w:b w:val="0"/>
        <w:i w:val="0"/>
        <w:strike w:val="0"/>
        <w:dstrike w:val="0"/>
        <w:color w:val="000000"/>
        <w:sz w:val="26"/>
        <w:szCs w:val="26"/>
        <w:u w:val="none" w:color="000000"/>
        <w:effect w:val="none"/>
        <w:bdr w:val="none" w:sz="0" w:space="0" w:color="auto" w:frame="1"/>
        <w:vertAlign w:val="baseline"/>
      </w:rPr>
    </w:lvl>
    <w:lvl w:ilvl="2" w:tplc="51F49642">
      <w:start w:val="1"/>
      <w:numFmt w:val="lowerRoman"/>
      <w:lvlText w:val="%3"/>
      <w:lvlJc w:val="left"/>
      <w:pPr>
        <w:ind w:left="1811" w:firstLine="0"/>
      </w:pPr>
      <w:rPr>
        <w:rFonts w:ascii="Malgan Gothic" w:eastAsia="Malgan Gothic" w:hAnsi="Malgan Gothic" w:cs="Malgan Gothic"/>
        <w:b w:val="0"/>
        <w:i w:val="0"/>
        <w:strike w:val="0"/>
        <w:dstrike w:val="0"/>
        <w:color w:val="000000"/>
        <w:sz w:val="26"/>
        <w:szCs w:val="26"/>
        <w:u w:val="none" w:color="000000"/>
        <w:effect w:val="none"/>
        <w:bdr w:val="none" w:sz="0" w:space="0" w:color="auto" w:frame="1"/>
        <w:vertAlign w:val="baseline"/>
      </w:rPr>
    </w:lvl>
    <w:lvl w:ilvl="3" w:tplc="E91A0C70">
      <w:start w:val="1"/>
      <w:numFmt w:val="decimal"/>
      <w:lvlText w:val="%4"/>
      <w:lvlJc w:val="left"/>
      <w:pPr>
        <w:ind w:left="2531" w:firstLine="0"/>
      </w:pPr>
      <w:rPr>
        <w:rFonts w:ascii="Malgan Gothic" w:eastAsia="Malgan Gothic" w:hAnsi="Malgan Gothic" w:cs="Malgan Gothic"/>
        <w:b w:val="0"/>
        <w:i w:val="0"/>
        <w:strike w:val="0"/>
        <w:dstrike w:val="0"/>
        <w:color w:val="000000"/>
        <w:sz w:val="26"/>
        <w:szCs w:val="26"/>
        <w:u w:val="none" w:color="000000"/>
        <w:effect w:val="none"/>
        <w:bdr w:val="none" w:sz="0" w:space="0" w:color="auto" w:frame="1"/>
        <w:vertAlign w:val="baseline"/>
      </w:rPr>
    </w:lvl>
    <w:lvl w:ilvl="4" w:tplc="6CAEB692">
      <w:start w:val="1"/>
      <w:numFmt w:val="lowerLetter"/>
      <w:lvlText w:val="%5"/>
      <w:lvlJc w:val="left"/>
      <w:pPr>
        <w:ind w:left="3251" w:firstLine="0"/>
      </w:pPr>
      <w:rPr>
        <w:rFonts w:ascii="Malgan Gothic" w:eastAsia="Malgan Gothic" w:hAnsi="Malgan Gothic" w:cs="Malgan Gothic"/>
        <w:b w:val="0"/>
        <w:i w:val="0"/>
        <w:strike w:val="0"/>
        <w:dstrike w:val="0"/>
        <w:color w:val="000000"/>
        <w:sz w:val="26"/>
        <w:szCs w:val="26"/>
        <w:u w:val="none" w:color="000000"/>
        <w:effect w:val="none"/>
        <w:bdr w:val="none" w:sz="0" w:space="0" w:color="auto" w:frame="1"/>
        <w:vertAlign w:val="baseline"/>
      </w:rPr>
    </w:lvl>
    <w:lvl w:ilvl="5" w:tplc="93269984">
      <w:start w:val="1"/>
      <w:numFmt w:val="lowerRoman"/>
      <w:lvlText w:val="%6"/>
      <w:lvlJc w:val="left"/>
      <w:pPr>
        <w:ind w:left="3971" w:firstLine="0"/>
      </w:pPr>
      <w:rPr>
        <w:rFonts w:ascii="Malgan Gothic" w:eastAsia="Malgan Gothic" w:hAnsi="Malgan Gothic" w:cs="Malgan Gothic"/>
        <w:b w:val="0"/>
        <w:i w:val="0"/>
        <w:strike w:val="0"/>
        <w:dstrike w:val="0"/>
        <w:color w:val="000000"/>
        <w:sz w:val="26"/>
        <w:szCs w:val="26"/>
        <w:u w:val="none" w:color="000000"/>
        <w:effect w:val="none"/>
        <w:bdr w:val="none" w:sz="0" w:space="0" w:color="auto" w:frame="1"/>
        <w:vertAlign w:val="baseline"/>
      </w:rPr>
    </w:lvl>
    <w:lvl w:ilvl="6" w:tplc="E2487656">
      <w:start w:val="1"/>
      <w:numFmt w:val="decimal"/>
      <w:lvlText w:val="%7"/>
      <w:lvlJc w:val="left"/>
      <w:pPr>
        <w:ind w:left="4691" w:firstLine="0"/>
      </w:pPr>
      <w:rPr>
        <w:rFonts w:ascii="Malgan Gothic" w:eastAsia="Malgan Gothic" w:hAnsi="Malgan Gothic" w:cs="Malgan Gothic"/>
        <w:b w:val="0"/>
        <w:i w:val="0"/>
        <w:strike w:val="0"/>
        <w:dstrike w:val="0"/>
        <w:color w:val="000000"/>
        <w:sz w:val="26"/>
        <w:szCs w:val="26"/>
        <w:u w:val="none" w:color="000000"/>
        <w:effect w:val="none"/>
        <w:bdr w:val="none" w:sz="0" w:space="0" w:color="auto" w:frame="1"/>
        <w:vertAlign w:val="baseline"/>
      </w:rPr>
    </w:lvl>
    <w:lvl w:ilvl="7" w:tplc="41FCCE7C">
      <w:start w:val="1"/>
      <w:numFmt w:val="lowerLetter"/>
      <w:lvlText w:val="%8"/>
      <w:lvlJc w:val="left"/>
      <w:pPr>
        <w:ind w:left="5411" w:firstLine="0"/>
      </w:pPr>
      <w:rPr>
        <w:rFonts w:ascii="Malgan Gothic" w:eastAsia="Malgan Gothic" w:hAnsi="Malgan Gothic" w:cs="Malgan Gothic"/>
        <w:b w:val="0"/>
        <w:i w:val="0"/>
        <w:strike w:val="0"/>
        <w:dstrike w:val="0"/>
        <w:color w:val="000000"/>
        <w:sz w:val="26"/>
        <w:szCs w:val="26"/>
        <w:u w:val="none" w:color="000000"/>
        <w:effect w:val="none"/>
        <w:bdr w:val="none" w:sz="0" w:space="0" w:color="auto" w:frame="1"/>
        <w:vertAlign w:val="baseline"/>
      </w:rPr>
    </w:lvl>
    <w:lvl w:ilvl="8" w:tplc="235E592A">
      <w:start w:val="1"/>
      <w:numFmt w:val="lowerRoman"/>
      <w:lvlText w:val="%9"/>
      <w:lvlJc w:val="left"/>
      <w:pPr>
        <w:ind w:left="6131" w:firstLine="0"/>
      </w:pPr>
      <w:rPr>
        <w:rFonts w:ascii="Malgan Gothic" w:eastAsia="Malgan Gothic" w:hAnsi="Malgan Gothic" w:cs="Malgan Gothic"/>
        <w:b w:val="0"/>
        <w:i w:val="0"/>
        <w:strike w:val="0"/>
        <w:dstrike w:val="0"/>
        <w:color w:val="000000"/>
        <w:sz w:val="26"/>
        <w:szCs w:val="26"/>
        <w:u w:val="none" w:color="000000"/>
        <w:effect w:val="none"/>
        <w:bdr w:val="none" w:sz="0" w:space="0" w:color="auto" w:frame="1"/>
        <w:vertAlign w:val="baseline"/>
      </w:rPr>
    </w:lvl>
  </w:abstractNum>
  <w:abstractNum w:abstractNumId="3" w15:restartNumberingAfterBreak="0">
    <w:nsid w:val="0F6B3697"/>
    <w:multiLevelType w:val="hybridMultilevel"/>
    <w:tmpl w:val="13C840B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73F795E"/>
    <w:multiLevelType w:val="hybridMultilevel"/>
    <w:tmpl w:val="E6C82C4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400B29"/>
    <w:multiLevelType w:val="multilevel"/>
    <w:tmpl w:val="131EC7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020A88"/>
    <w:multiLevelType w:val="hybridMultilevel"/>
    <w:tmpl w:val="8E5495F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7AC23B5"/>
    <w:multiLevelType w:val="hybridMultilevel"/>
    <w:tmpl w:val="421CAF94"/>
    <w:lvl w:ilvl="0" w:tplc="68BED35E">
      <w:start w:val="1"/>
      <w:numFmt w:val="decimal"/>
      <w:lvlText w:val="%1)"/>
      <w:lvlJc w:val="left"/>
      <w:pPr>
        <w:ind w:left="684" w:firstLine="0"/>
      </w:pPr>
      <w:rPr>
        <w:rFonts w:ascii="Malgan Gothic" w:eastAsia="Malgan Gothic" w:hAnsi="Malgan Gothic" w:cs="Malgan Gothic"/>
        <w:b w:val="0"/>
        <w:i w:val="0"/>
        <w:strike w:val="0"/>
        <w:dstrike w:val="0"/>
        <w:color w:val="000000"/>
        <w:sz w:val="26"/>
        <w:szCs w:val="26"/>
        <w:u w:val="none" w:color="000000"/>
        <w:effect w:val="none"/>
        <w:bdr w:val="none" w:sz="0" w:space="0" w:color="auto" w:frame="1"/>
        <w:vertAlign w:val="baseline"/>
      </w:rPr>
    </w:lvl>
    <w:lvl w:ilvl="1" w:tplc="60F4EF1A">
      <w:start w:val="1"/>
      <w:numFmt w:val="lowerLetter"/>
      <w:lvlText w:val="%2"/>
      <w:lvlJc w:val="left"/>
      <w:pPr>
        <w:ind w:left="1363" w:firstLine="0"/>
      </w:pPr>
      <w:rPr>
        <w:rFonts w:ascii="Malgan Gothic" w:eastAsia="Malgan Gothic" w:hAnsi="Malgan Gothic" w:cs="Malgan Gothic"/>
        <w:b w:val="0"/>
        <w:i w:val="0"/>
        <w:strike w:val="0"/>
        <w:dstrike w:val="0"/>
        <w:color w:val="000000"/>
        <w:sz w:val="26"/>
        <w:szCs w:val="26"/>
        <w:u w:val="none" w:color="000000"/>
        <w:effect w:val="none"/>
        <w:bdr w:val="none" w:sz="0" w:space="0" w:color="auto" w:frame="1"/>
        <w:vertAlign w:val="baseline"/>
      </w:rPr>
    </w:lvl>
    <w:lvl w:ilvl="2" w:tplc="52F4BBBC">
      <w:start w:val="1"/>
      <w:numFmt w:val="lowerRoman"/>
      <w:lvlText w:val="%3"/>
      <w:lvlJc w:val="left"/>
      <w:pPr>
        <w:ind w:left="2083" w:firstLine="0"/>
      </w:pPr>
      <w:rPr>
        <w:rFonts w:ascii="Malgan Gothic" w:eastAsia="Malgan Gothic" w:hAnsi="Malgan Gothic" w:cs="Malgan Gothic"/>
        <w:b w:val="0"/>
        <w:i w:val="0"/>
        <w:strike w:val="0"/>
        <w:dstrike w:val="0"/>
        <w:color w:val="000000"/>
        <w:sz w:val="26"/>
        <w:szCs w:val="26"/>
        <w:u w:val="none" w:color="000000"/>
        <w:effect w:val="none"/>
        <w:bdr w:val="none" w:sz="0" w:space="0" w:color="auto" w:frame="1"/>
        <w:vertAlign w:val="baseline"/>
      </w:rPr>
    </w:lvl>
    <w:lvl w:ilvl="3" w:tplc="D04A5832">
      <w:start w:val="1"/>
      <w:numFmt w:val="decimal"/>
      <w:lvlText w:val="%4"/>
      <w:lvlJc w:val="left"/>
      <w:pPr>
        <w:ind w:left="2803" w:firstLine="0"/>
      </w:pPr>
      <w:rPr>
        <w:rFonts w:ascii="Malgan Gothic" w:eastAsia="Malgan Gothic" w:hAnsi="Malgan Gothic" w:cs="Malgan Gothic"/>
        <w:b w:val="0"/>
        <w:i w:val="0"/>
        <w:strike w:val="0"/>
        <w:dstrike w:val="0"/>
        <w:color w:val="000000"/>
        <w:sz w:val="26"/>
        <w:szCs w:val="26"/>
        <w:u w:val="none" w:color="000000"/>
        <w:effect w:val="none"/>
        <w:bdr w:val="none" w:sz="0" w:space="0" w:color="auto" w:frame="1"/>
        <w:vertAlign w:val="baseline"/>
      </w:rPr>
    </w:lvl>
    <w:lvl w:ilvl="4" w:tplc="ED7C4204">
      <w:start w:val="1"/>
      <w:numFmt w:val="lowerLetter"/>
      <w:lvlText w:val="%5"/>
      <w:lvlJc w:val="left"/>
      <w:pPr>
        <w:ind w:left="3523" w:firstLine="0"/>
      </w:pPr>
      <w:rPr>
        <w:rFonts w:ascii="Malgan Gothic" w:eastAsia="Malgan Gothic" w:hAnsi="Malgan Gothic" w:cs="Malgan Gothic"/>
        <w:b w:val="0"/>
        <w:i w:val="0"/>
        <w:strike w:val="0"/>
        <w:dstrike w:val="0"/>
        <w:color w:val="000000"/>
        <w:sz w:val="26"/>
        <w:szCs w:val="26"/>
        <w:u w:val="none" w:color="000000"/>
        <w:effect w:val="none"/>
        <w:bdr w:val="none" w:sz="0" w:space="0" w:color="auto" w:frame="1"/>
        <w:vertAlign w:val="baseline"/>
      </w:rPr>
    </w:lvl>
    <w:lvl w:ilvl="5" w:tplc="DE0E80AA">
      <w:start w:val="1"/>
      <w:numFmt w:val="lowerRoman"/>
      <w:lvlText w:val="%6"/>
      <w:lvlJc w:val="left"/>
      <w:pPr>
        <w:ind w:left="4243" w:firstLine="0"/>
      </w:pPr>
      <w:rPr>
        <w:rFonts w:ascii="Malgan Gothic" w:eastAsia="Malgan Gothic" w:hAnsi="Malgan Gothic" w:cs="Malgan Gothic"/>
        <w:b w:val="0"/>
        <w:i w:val="0"/>
        <w:strike w:val="0"/>
        <w:dstrike w:val="0"/>
        <w:color w:val="000000"/>
        <w:sz w:val="26"/>
        <w:szCs w:val="26"/>
        <w:u w:val="none" w:color="000000"/>
        <w:effect w:val="none"/>
        <w:bdr w:val="none" w:sz="0" w:space="0" w:color="auto" w:frame="1"/>
        <w:vertAlign w:val="baseline"/>
      </w:rPr>
    </w:lvl>
    <w:lvl w:ilvl="6" w:tplc="A0209638">
      <w:start w:val="1"/>
      <w:numFmt w:val="decimal"/>
      <w:lvlText w:val="%7"/>
      <w:lvlJc w:val="left"/>
      <w:pPr>
        <w:ind w:left="4963" w:firstLine="0"/>
      </w:pPr>
      <w:rPr>
        <w:rFonts w:ascii="Malgan Gothic" w:eastAsia="Malgan Gothic" w:hAnsi="Malgan Gothic" w:cs="Malgan Gothic"/>
        <w:b w:val="0"/>
        <w:i w:val="0"/>
        <w:strike w:val="0"/>
        <w:dstrike w:val="0"/>
        <w:color w:val="000000"/>
        <w:sz w:val="26"/>
        <w:szCs w:val="26"/>
        <w:u w:val="none" w:color="000000"/>
        <w:effect w:val="none"/>
        <w:bdr w:val="none" w:sz="0" w:space="0" w:color="auto" w:frame="1"/>
        <w:vertAlign w:val="baseline"/>
      </w:rPr>
    </w:lvl>
    <w:lvl w:ilvl="7" w:tplc="6086682C">
      <w:start w:val="1"/>
      <w:numFmt w:val="lowerLetter"/>
      <w:lvlText w:val="%8"/>
      <w:lvlJc w:val="left"/>
      <w:pPr>
        <w:ind w:left="5683" w:firstLine="0"/>
      </w:pPr>
      <w:rPr>
        <w:rFonts w:ascii="Malgan Gothic" w:eastAsia="Malgan Gothic" w:hAnsi="Malgan Gothic" w:cs="Malgan Gothic"/>
        <w:b w:val="0"/>
        <w:i w:val="0"/>
        <w:strike w:val="0"/>
        <w:dstrike w:val="0"/>
        <w:color w:val="000000"/>
        <w:sz w:val="26"/>
        <w:szCs w:val="26"/>
        <w:u w:val="none" w:color="000000"/>
        <w:effect w:val="none"/>
        <w:bdr w:val="none" w:sz="0" w:space="0" w:color="auto" w:frame="1"/>
        <w:vertAlign w:val="baseline"/>
      </w:rPr>
    </w:lvl>
    <w:lvl w:ilvl="8" w:tplc="B888B014">
      <w:start w:val="1"/>
      <w:numFmt w:val="lowerRoman"/>
      <w:lvlText w:val="%9"/>
      <w:lvlJc w:val="left"/>
      <w:pPr>
        <w:ind w:left="6403" w:firstLine="0"/>
      </w:pPr>
      <w:rPr>
        <w:rFonts w:ascii="Malgan Gothic" w:eastAsia="Malgan Gothic" w:hAnsi="Malgan Gothic" w:cs="Malgan Gothic"/>
        <w:b w:val="0"/>
        <w:i w:val="0"/>
        <w:strike w:val="0"/>
        <w:dstrike w:val="0"/>
        <w:color w:val="000000"/>
        <w:sz w:val="26"/>
        <w:szCs w:val="26"/>
        <w:u w:val="none" w:color="000000"/>
        <w:effect w:val="none"/>
        <w:bdr w:val="none" w:sz="0" w:space="0" w:color="auto" w:frame="1"/>
        <w:vertAlign w:val="baseline"/>
      </w:rPr>
    </w:lvl>
  </w:abstractNum>
  <w:abstractNum w:abstractNumId="8" w15:restartNumberingAfterBreak="0">
    <w:nsid w:val="2AEB275B"/>
    <w:multiLevelType w:val="hybridMultilevel"/>
    <w:tmpl w:val="9224DC80"/>
    <w:lvl w:ilvl="0" w:tplc="6AD4E8C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D322076"/>
    <w:multiLevelType w:val="hybridMultilevel"/>
    <w:tmpl w:val="ED4C414C"/>
    <w:lvl w:ilvl="0" w:tplc="636829D2">
      <w:start w:val="1"/>
      <w:numFmt w:val="decimal"/>
      <w:lvlText w:val="%1."/>
      <w:lvlJc w:val="left"/>
      <w:pPr>
        <w:ind w:left="502" w:hanging="360"/>
      </w:pPr>
      <w:rPr>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15:restartNumberingAfterBreak="0">
    <w:nsid w:val="2D5C604B"/>
    <w:multiLevelType w:val="hybridMultilevel"/>
    <w:tmpl w:val="54F6B3E6"/>
    <w:lvl w:ilvl="0" w:tplc="28883B10">
      <w:start w:val="1"/>
      <w:numFmt w:val="lowerLetter"/>
      <w:lvlText w:val="%1)"/>
      <w:lvlJc w:val="left"/>
      <w:pPr>
        <w:ind w:left="755" w:hanging="360"/>
      </w:pPr>
      <w:rPr>
        <w:rFonts w:ascii="Times New Roman" w:eastAsia="Calibri" w:hAnsi="Times New Roman" w:cs="Times New Roman" w:hint="default"/>
        <w:b w:val="0"/>
        <w:sz w:val="22"/>
      </w:rPr>
    </w:lvl>
    <w:lvl w:ilvl="1" w:tplc="04150019" w:tentative="1">
      <w:start w:val="1"/>
      <w:numFmt w:val="lowerLetter"/>
      <w:lvlText w:val="%2."/>
      <w:lvlJc w:val="left"/>
      <w:pPr>
        <w:ind w:left="1475" w:hanging="360"/>
      </w:pPr>
    </w:lvl>
    <w:lvl w:ilvl="2" w:tplc="0415001B" w:tentative="1">
      <w:start w:val="1"/>
      <w:numFmt w:val="lowerRoman"/>
      <w:lvlText w:val="%3."/>
      <w:lvlJc w:val="right"/>
      <w:pPr>
        <w:ind w:left="2195" w:hanging="180"/>
      </w:pPr>
    </w:lvl>
    <w:lvl w:ilvl="3" w:tplc="0415000F" w:tentative="1">
      <w:start w:val="1"/>
      <w:numFmt w:val="decimal"/>
      <w:lvlText w:val="%4."/>
      <w:lvlJc w:val="left"/>
      <w:pPr>
        <w:ind w:left="2915" w:hanging="360"/>
      </w:pPr>
    </w:lvl>
    <w:lvl w:ilvl="4" w:tplc="04150019" w:tentative="1">
      <w:start w:val="1"/>
      <w:numFmt w:val="lowerLetter"/>
      <w:lvlText w:val="%5."/>
      <w:lvlJc w:val="left"/>
      <w:pPr>
        <w:ind w:left="3635" w:hanging="360"/>
      </w:pPr>
    </w:lvl>
    <w:lvl w:ilvl="5" w:tplc="0415001B" w:tentative="1">
      <w:start w:val="1"/>
      <w:numFmt w:val="lowerRoman"/>
      <w:lvlText w:val="%6."/>
      <w:lvlJc w:val="right"/>
      <w:pPr>
        <w:ind w:left="4355" w:hanging="180"/>
      </w:pPr>
    </w:lvl>
    <w:lvl w:ilvl="6" w:tplc="0415000F" w:tentative="1">
      <w:start w:val="1"/>
      <w:numFmt w:val="decimal"/>
      <w:lvlText w:val="%7."/>
      <w:lvlJc w:val="left"/>
      <w:pPr>
        <w:ind w:left="5075" w:hanging="360"/>
      </w:pPr>
    </w:lvl>
    <w:lvl w:ilvl="7" w:tplc="04150019" w:tentative="1">
      <w:start w:val="1"/>
      <w:numFmt w:val="lowerLetter"/>
      <w:lvlText w:val="%8."/>
      <w:lvlJc w:val="left"/>
      <w:pPr>
        <w:ind w:left="5795" w:hanging="360"/>
      </w:pPr>
    </w:lvl>
    <w:lvl w:ilvl="8" w:tplc="0415001B" w:tentative="1">
      <w:start w:val="1"/>
      <w:numFmt w:val="lowerRoman"/>
      <w:lvlText w:val="%9."/>
      <w:lvlJc w:val="right"/>
      <w:pPr>
        <w:ind w:left="6515" w:hanging="180"/>
      </w:pPr>
    </w:lvl>
  </w:abstractNum>
  <w:abstractNum w:abstractNumId="11" w15:restartNumberingAfterBreak="0">
    <w:nsid w:val="31F6765C"/>
    <w:multiLevelType w:val="hybridMultilevel"/>
    <w:tmpl w:val="DBD873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2DC642C"/>
    <w:multiLevelType w:val="hybridMultilevel"/>
    <w:tmpl w:val="D5BE87F4"/>
    <w:lvl w:ilvl="0" w:tplc="3D58A254">
      <w:start w:val="1"/>
      <w:numFmt w:val="decimal"/>
      <w:lvlText w:val="§ %1."/>
      <w:lvlJc w:val="left"/>
      <w:pPr>
        <w:ind w:left="755" w:hanging="360"/>
      </w:pPr>
      <w:rPr>
        <w:rFonts w:ascii="Arial" w:hAnsi="Arial" w:cs="Arial" w:hint="default"/>
        <w:b/>
        <w:sz w:val="22"/>
      </w:rPr>
    </w:lvl>
    <w:lvl w:ilvl="1" w:tplc="04150019" w:tentative="1">
      <w:start w:val="1"/>
      <w:numFmt w:val="lowerLetter"/>
      <w:lvlText w:val="%2."/>
      <w:lvlJc w:val="left"/>
      <w:pPr>
        <w:ind w:left="1475" w:hanging="360"/>
      </w:pPr>
    </w:lvl>
    <w:lvl w:ilvl="2" w:tplc="0415001B" w:tentative="1">
      <w:start w:val="1"/>
      <w:numFmt w:val="lowerRoman"/>
      <w:lvlText w:val="%3."/>
      <w:lvlJc w:val="right"/>
      <w:pPr>
        <w:ind w:left="2195" w:hanging="180"/>
      </w:pPr>
    </w:lvl>
    <w:lvl w:ilvl="3" w:tplc="0415000F" w:tentative="1">
      <w:start w:val="1"/>
      <w:numFmt w:val="decimal"/>
      <w:lvlText w:val="%4."/>
      <w:lvlJc w:val="left"/>
      <w:pPr>
        <w:ind w:left="2915" w:hanging="360"/>
      </w:pPr>
    </w:lvl>
    <w:lvl w:ilvl="4" w:tplc="04150019" w:tentative="1">
      <w:start w:val="1"/>
      <w:numFmt w:val="lowerLetter"/>
      <w:lvlText w:val="%5."/>
      <w:lvlJc w:val="left"/>
      <w:pPr>
        <w:ind w:left="3635" w:hanging="360"/>
      </w:pPr>
    </w:lvl>
    <w:lvl w:ilvl="5" w:tplc="0415001B" w:tentative="1">
      <w:start w:val="1"/>
      <w:numFmt w:val="lowerRoman"/>
      <w:lvlText w:val="%6."/>
      <w:lvlJc w:val="right"/>
      <w:pPr>
        <w:ind w:left="4355" w:hanging="180"/>
      </w:pPr>
    </w:lvl>
    <w:lvl w:ilvl="6" w:tplc="0415000F" w:tentative="1">
      <w:start w:val="1"/>
      <w:numFmt w:val="decimal"/>
      <w:lvlText w:val="%7."/>
      <w:lvlJc w:val="left"/>
      <w:pPr>
        <w:ind w:left="5075" w:hanging="360"/>
      </w:pPr>
    </w:lvl>
    <w:lvl w:ilvl="7" w:tplc="04150019" w:tentative="1">
      <w:start w:val="1"/>
      <w:numFmt w:val="lowerLetter"/>
      <w:lvlText w:val="%8."/>
      <w:lvlJc w:val="left"/>
      <w:pPr>
        <w:ind w:left="5795" w:hanging="360"/>
      </w:pPr>
    </w:lvl>
    <w:lvl w:ilvl="8" w:tplc="0415001B" w:tentative="1">
      <w:start w:val="1"/>
      <w:numFmt w:val="lowerRoman"/>
      <w:lvlText w:val="%9."/>
      <w:lvlJc w:val="right"/>
      <w:pPr>
        <w:ind w:left="6515" w:hanging="180"/>
      </w:pPr>
    </w:lvl>
  </w:abstractNum>
  <w:abstractNum w:abstractNumId="13" w15:restartNumberingAfterBreak="0">
    <w:nsid w:val="333E1CAB"/>
    <w:multiLevelType w:val="hybridMultilevel"/>
    <w:tmpl w:val="284AF386"/>
    <w:lvl w:ilvl="0" w:tplc="CBB2FA4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CF83A86"/>
    <w:multiLevelType w:val="hybridMultilevel"/>
    <w:tmpl w:val="11AA0376"/>
    <w:lvl w:ilvl="0" w:tplc="54E0A04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28352D2"/>
    <w:multiLevelType w:val="hybridMultilevel"/>
    <w:tmpl w:val="08089764"/>
    <w:lvl w:ilvl="0" w:tplc="7CA8A832">
      <w:start w:val="2"/>
      <w:numFmt w:val="decimal"/>
      <w:lvlText w:val="%1."/>
      <w:lvlJc w:val="left"/>
      <w:pPr>
        <w:ind w:left="388" w:firstLine="0"/>
      </w:pPr>
      <w:rPr>
        <w:rFonts w:ascii="Malgan Gothic" w:eastAsia="Malgan Gothic" w:hAnsi="Malgan Gothic" w:cs="Malgan Gothic"/>
        <w:b w:val="0"/>
        <w:i w:val="0"/>
        <w:strike w:val="0"/>
        <w:dstrike w:val="0"/>
        <w:color w:val="000000"/>
        <w:sz w:val="28"/>
        <w:szCs w:val="28"/>
        <w:u w:val="none" w:color="000000"/>
        <w:effect w:val="none"/>
        <w:bdr w:val="none" w:sz="0" w:space="0" w:color="auto" w:frame="1"/>
        <w:vertAlign w:val="baseline"/>
      </w:rPr>
    </w:lvl>
    <w:lvl w:ilvl="1" w:tplc="35C42986">
      <w:start w:val="1"/>
      <w:numFmt w:val="lowerLetter"/>
      <w:lvlText w:val="%2"/>
      <w:lvlJc w:val="left"/>
      <w:pPr>
        <w:ind w:left="1091" w:firstLine="0"/>
      </w:pPr>
      <w:rPr>
        <w:rFonts w:ascii="Malgan Gothic" w:eastAsia="Malgan Gothic" w:hAnsi="Malgan Gothic" w:cs="Malgan Gothic"/>
        <w:b w:val="0"/>
        <w:i w:val="0"/>
        <w:strike w:val="0"/>
        <w:dstrike w:val="0"/>
        <w:color w:val="000000"/>
        <w:sz w:val="28"/>
        <w:szCs w:val="28"/>
        <w:u w:val="none" w:color="000000"/>
        <w:effect w:val="none"/>
        <w:bdr w:val="none" w:sz="0" w:space="0" w:color="auto" w:frame="1"/>
        <w:vertAlign w:val="baseline"/>
      </w:rPr>
    </w:lvl>
    <w:lvl w:ilvl="2" w:tplc="8138CC1C">
      <w:start w:val="1"/>
      <w:numFmt w:val="lowerRoman"/>
      <w:lvlText w:val="%3"/>
      <w:lvlJc w:val="left"/>
      <w:pPr>
        <w:ind w:left="1811" w:firstLine="0"/>
      </w:pPr>
      <w:rPr>
        <w:rFonts w:ascii="Malgan Gothic" w:eastAsia="Malgan Gothic" w:hAnsi="Malgan Gothic" w:cs="Malgan Gothic"/>
        <w:b w:val="0"/>
        <w:i w:val="0"/>
        <w:strike w:val="0"/>
        <w:dstrike w:val="0"/>
        <w:color w:val="000000"/>
        <w:sz w:val="28"/>
        <w:szCs w:val="28"/>
        <w:u w:val="none" w:color="000000"/>
        <w:effect w:val="none"/>
        <w:bdr w:val="none" w:sz="0" w:space="0" w:color="auto" w:frame="1"/>
        <w:vertAlign w:val="baseline"/>
      </w:rPr>
    </w:lvl>
    <w:lvl w:ilvl="3" w:tplc="056427A4">
      <w:start w:val="1"/>
      <w:numFmt w:val="decimal"/>
      <w:lvlText w:val="%4"/>
      <w:lvlJc w:val="left"/>
      <w:pPr>
        <w:ind w:left="2531" w:firstLine="0"/>
      </w:pPr>
      <w:rPr>
        <w:rFonts w:ascii="Malgan Gothic" w:eastAsia="Malgan Gothic" w:hAnsi="Malgan Gothic" w:cs="Malgan Gothic"/>
        <w:b w:val="0"/>
        <w:i w:val="0"/>
        <w:strike w:val="0"/>
        <w:dstrike w:val="0"/>
        <w:color w:val="000000"/>
        <w:sz w:val="28"/>
        <w:szCs w:val="28"/>
        <w:u w:val="none" w:color="000000"/>
        <w:effect w:val="none"/>
        <w:bdr w:val="none" w:sz="0" w:space="0" w:color="auto" w:frame="1"/>
        <w:vertAlign w:val="baseline"/>
      </w:rPr>
    </w:lvl>
    <w:lvl w:ilvl="4" w:tplc="3008F8CA">
      <w:start w:val="1"/>
      <w:numFmt w:val="lowerLetter"/>
      <w:lvlText w:val="%5"/>
      <w:lvlJc w:val="left"/>
      <w:pPr>
        <w:ind w:left="3251" w:firstLine="0"/>
      </w:pPr>
      <w:rPr>
        <w:rFonts w:ascii="Malgan Gothic" w:eastAsia="Malgan Gothic" w:hAnsi="Malgan Gothic" w:cs="Malgan Gothic"/>
        <w:b w:val="0"/>
        <w:i w:val="0"/>
        <w:strike w:val="0"/>
        <w:dstrike w:val="0"/>
        <w:color w:val="000000"/>
        <w:sz w:val="28"/>
        <w:szCs w:val="28"/>
        <w:u w:val="none" w:color="000000"/>
        <w:effect w:val="none"/>
        <w:bdr w:val="none" w:sz="0" w:space="0" w:color="auto" w:frame="1"/>
        <w:vertAlign w:val="baseline"/>
      </w:rPr>
    </w:lvl>
    <w:lvl w:ilvl="5" w:tplc="2182D9FA">
      <w:start w:val="1"/>
      <w:numFmt w:val="lowerRoman"/>
      <w:lvlText w:val="%6"/>
      <w:lvlJc w:val="left"/>
      <w:pPr>
        <w:ind w:left="3971" w:firstLine="0"/>
      </w:pPr>
      <w:rPr>
        <w:rFonts w:ascii="Malgan Gothic" w:eastAsia="Malgan Gothic" w:hAnsi="Malgan Gothic" w:cs="Malgan Gothic"/>
        <w:b w:val="0"/>
        <w:i w:val="0"/>
        <w:strike w:val="0"/>
        <w:dstrike w:val="0"/>
        <w:color w:val="000000"/>
        <w:sz w:val="28"/>
        <w:szCs w:val="28"/>
        <w:u w:val="none" w:color="000000"/>
        <w:effect w:val="none"/>
        <w:bdr w:val="none" w:sz="0" w:space="0" w:color="auto" w:frame="1"/>
        <w:vertAlign w:val="baseline"/>
      </w:rPr>
    </w:lvl>
    <w:lvl w:ilvl="6" w:tplc="C6040610">
      <w:start w:val="1"/>
      <w:numFmt w:val="decimal"/>
      <w:lvlText w:val="%7"/>
      <w:lvlJc w:val="left"/>
      <w:pPr>
        <w:ind w:left="4691" w:firstLine="0"/>
      </w:pPr>
      <w:rPr>
        <w:rFonts w:ascii="Malgan Gothic" w:eastAsia="Malgan Gothic" w:hAnsi="Malgan Gothic" w:cs="Malgan Gothic"/>
        <w:b w:val="0"/>
        <w:i w:val="0"/>
        <w:strike w:val="0"/>
        <w:dstrike w:val="0"/>
        <w:color w:val="000000"/>
        <w:sz w:val="28"/>
        <w:szCs w:val="28"/>
        <w:u w:val="none" w:color="000000"/>
        <w:effect w:val="none"/>
        <w:bdr w:val="none" w:sz="0" w:space="0" w:color="auto" w:frame="1"/>
        <w:vertAlign w:val="baseline"/>
      </w:rPr>
    </w:lvl>
    <w:lvl w:ilvl="7" w:tplc="09C077A4">
      <w:start w:val="1"/>
      <w:numFmt w:val="lowerLetter"/>
      <w:lvlText w:val="%8"/>
      <w:lvlJc w:val="left"/>
      <w:pPr>
        <w:ind w:left="5411" w:firstLine="0"/>
      </w:pPr>
      <w:rPr>
        <w:rFonts w:ascii="Malgan Gothic" w:eastAsia="Malgan Gothic" w:hAnsi="Malgan Gothic" w:cs="Malgan Gothic"/>
        <w:b w:val="0"/>
        <w:i w:val="0"/>
        <w:strike w:val="0"/>
        <w:dstrike w:val="0"/>
        <w:color w:val="000000"/>
        <w:sz w:val="28"/>
        <w:szCs w:val="28"/>
        <w:u w:val="none" w:color="000000"/>
        <w:effect w:val="none"/>
        <w:bdr w:val="none" w:sz="0" w:space="0" w:color="auto" w:frame="1"/>
        <w:vertAlign w:val="baseline"/>
      </w:rPr>
    </w:lvl>
    <w:lvl w:ilvl="8" w:tplc="6FE40B0E">
      <w:start w:val="1"/>
      <w:numFmt w:val="lowerRoman"/>
      <w:lvlText w:val="%9"/>
      <w:lvlJc w:val="left"/>
      <w:pPr>
        <w:ind w:left="6131" w:firstLine="0"/>
      </w:pPr>
      <w:rPr>
        <w:rFonts w:ascii="Malgan Gothic" w:eastAsia="Malgan Gothic" w:hAnsi="Malgan Gothic" w:cs="Malgan Gothic"/>
        <w:b w:val="0"/>
        <w:i w:val="0"/>
        <w:strike w:val="0"/>
        <w:dstrike w:val="0"/>
        <w:color w:val="000000"/>
        <w:sz w:val="28"/>
        <w:szCs w:val="28"/>
        <w:u w:val="none" w:color="000000"/>
        <w:effect w:val="none"/>
        <w:bdr w:val="none" w:sz="0" w:space="0" w:color="auto" w:frame="1"/>
        <w:vertAlign w:val="baseline"/>
      </w:rPr>
    </w:lvl>
  </w:abstractNum>
  <w:abstractNum w:abstractNumId="16" w15:restartNumberingAfterBreak="0">
    <w:nsid w:val="45133931"/>
    <w:multiLevelType w:val="hybridMultilevel"/>
    <w:tmpl w:val="8716D61E"/>
    <w:lvl w:ilvl="0" w:tplc="04150011">
      <w:start w:val="1"/>
      <w:numFmt w:val="decimal"/>
      <w:lvlText w:val="%1)"/>
      <w:lvlJc w:val="left"/>
      <w:pPr>
        <w:ind w:left="360" w:hanging="360"/>
      </w:pPr>
      <w:rPr>
        <w:rFonts w:hint="default"/>
      </w:rPr>
    </w:lvl>
    <w:lvl w:ilvl="1" w:tplc="04150017">
      <w:start w:val="1"/>
      <w:numFmt w:val="lowerLetter"/>
      <w:lvlText w:val="%2)"/>
      <w:lvlJc w:val="left"/>
      <w:pPr>
        <w:ind w:left="1080" w:hanging="360"/>
      </w:pPr>
      <w:rPr>
        <w:rFonts w:hint="default"/>
        <w:b w:val="0"/>
      </w:rPr>
    </w:lvl>
    <w:lvl w:ilvl="2" w:tplc="04150017">
      <w:start w:val="1"/>
      <w:numFmt w:val="lowerLetter"/>
      <w:lvlText w:val="%3)"/>
      <w:lvlJc w:val="lef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8FA5C6E"/>
    <w:multiLevelType w:val="hybridMultilevel"/>
    <w:tmpl w:val="0AFCDC44"/>
    <w:lvl w:ilvl="0" w:tplc="C9A2F386">
      <w:start w:val="1"/>
      <w:numFmt w:val="decimal"/>
      <w:lvlText w:val="%1)"/>
      <w:lvlJc w:val="left"/>
      <w:pPr>
        <w:ind w:left="2195" w:hanging="360"/>
      </w:pPr>
      <w:rPr>
        <w:rFonts w:hint="default"/>
      </w:rPr>
    </w:lvl>
    <w:lvl w:ilvl="1" w:tplc="04150019" w:tentative="1">
      <w:start w:val="1"/>
      <w:numFmt w:val="lowerLetter"/>
      <w:lvlText w:val="%2."/>
      <w:lvlJc w:val="left"/>
      <w:pPr>
        <w:ind w:left="2915" w:hanging="360"/>
      </w:pPr>
    </w:lvl>
    <w:lvl w:ilvl="2" w:tplc="0415001B" w:tentative="1">
      <w:start w:val="1"/>
      <w:numFmt w:val="lowerRoman"/>
      <w:lvlText w:val="%3."/>
      <w:lvlJc w:val="right"/>
      <w:pPr>
        <w:ind w:left="3635" w:hanging="180"/>
      </w:pPr>
    </w:lvl>
    <w:lvl w:ilvl="3" w:tplc="0415000F" w:tentative="1">
      <w:start w:val="1"/>
      <w:numFmt w:val="decimal"/>
      <w:lvlText w:val="%4."/>
      <w:lvlJc w:val="left"/>
      <w:pPr>
        <w:ind w:left="4355" w:hanging="360"/>
      </w:pPr>
    </w:lvl>
    <w:lvl w:ilvl="4" w:tplc="04150019" w:tentative="1">
      <w:start w:val="1"/>
      <w:numFmt w:val="lowerLetter"/>
      <w:lvlText w:val="%5."/>
      <w:lvlJc w:val="left"/>
      <w:pPr>
        <w:ind w:left="5075" w:hanging="360"/>
      </w:pPr>
    </w:lvl>
    <w:lvl w:ilvl="5" w:tplc="0415001B" w:tentative="1">
      <w:start w:val="1"/>
      <w:numFmt w:val="lowerRoman"/>
      <w:lvlText w:val="%6."/>
      <w:lvlJc w:val="right"/>
      <w:pPr>
        <w:ind w:left="5795" w:hanging="180"/>
      </w:pPr>
    </w:lvl>
    <w:lvl w:ilvl="6" w:tplc="0415000F" w:tentative="1">
      <w:start w:val="1"/>
      <w:numFmt w:val="decimal"/>
      <w:lvlText w:val="%7."/>
      <w:lvlJc w:val="left"/>
      <w:pPr>
        <w:ind w:left="6515" w:hanging="360"/>
      </w:pPr>
    </w:lvl>
    <w:lvl w:ilvl="7" w:tplc="04150019" w:tentative="1">
      <w:start w:val="1"/>
      <w:numFmt w:val="lowerLetter"/>
      <w:lvlText w:val="%8."/>
      <w:lvlJc w:val="left"/>
      <w:pPr>
        <w:ind w:left="7235" w:hanging="360"/>
      </w:pPr>
    </w:lvl>
    <w:lvl w:ilvl="8" w:tplc="0415001B" w:tentative="1">
      <w:start w:val="1"/>
      <w:numFmt w:val="lowerRoman"/>
      <w:lvlText w:val="%9."/>
      <w:lvlJc w:val="right"/>
      <w:pPr>
        <w:ind w:left="7955" w:hanging="180"/>
      </w:pPr>
    </w:lvl>
  </w:abstractNum>
  <w:abstractNum w:abstractNumId="18" w15:restartNumberingAfterBreak="0">
    <w:nsid w:val="5AAE01FF"/>
    <w:multiLevelType w:val="hybridMultilevel"/>
    <w:tmpl w:val="2D8488CC"/>
    <w:lvl w:ilvl="0" w:tplc="D2AEDFD2">
      <w:start w:val="1"/>
      <w:numFmt w:val="decimal"/>
      <w:lvlText w:val="%1)"/>
      <w:lvlJc w:val="left"/>
      <w:pPr>
        <w:ind w:left="2195" w:hanging="360"/>
      </w:pPr>
      <w:rPr>
        <w:rFonts w:hint="default"/>
      </w:rPr>
    </w:lvl>
    <w:lvl w:ilvl="1" w:tplc="04150019" w:tentative="1">
      <w:start w:val="1"/>
      <w:numFmt w:val="lowerLetter"/>
      <w:lvlText w:val="%2."/>
      <w:lvlJc w:val="left"/>
      <w:pPr>
        <w:ind w:left="2915" w:hanging="360"/>
      </w:pPr>
    </w:lvl>
    <w:lvl w:ilvl="2" w:tplc="0415001B">
      <w:start w:val="1"/>
      <w:numFmt w:val="lowerRoman"/>
      <w:lvlText w:val="%3."/>
      <w:lvlJc w:val="right"/>
      <w:pPr>
        <w:ind w:left="3635" w:hanging="180"/>
      </w:pPr>
    </w:lvl>
    <w:lvl w:ilvl="3" w:tplc="0415000F" w:tentative="1">
      <w:start w:val="1"/>
      <w:numFmt w:val="decimal"/>
      <w:lvlText w:val="%4."/>
      <w:lvlJc w:val="left"/>
      <w:pPr>
        <w:ind w:left="4355" w:hanging="360"/>
      </w:pPr>
    </w:lvl>
    <w:lvl w:ilvl="4" w:tplc="04150019" w:tentative="1">
      <w:start w:val="1"/>
      <w:numFmt w:val="lowerLetter"/>
      <w:lvlText w:val="%5."/>
      <w:lvlJc w:val="left"/>
      <w:pPr>
        <w:ind w:left="5075" w:hanging="360"/>
      </w:pPr>
    </w:lvl>
    <w:lvl w:ilvl="5" w:tplc="0415001B" w:tentative="1">
      <w:start w:val="1"/>
      <w:numFmt w:val="lowerRoman"/>
      <w:lvlText w:val="%6."/>
      <w:lvlJc w:val="right"/>
      <w:pPr>
        <w:ind w:left="5795" w:hanging="180"/>
      </w:pPr>
    </w:lvl>
    <w:lvl w:ilvl="6" w:tplc="0415000F" w:tentative="1">
      <w:start w:val="1"/>
      <w:numFmt w:val="decimal"/>
      <w:lvlText w:val="%7."/>
      <w:lvlJc w:val="left"/>
      <w:pPr>
        <w:ind w:left="6515" w:hanging="360"/>
      </w:pPr>
    </w:lvl>
    <w:lvl w:ilvl="7" w:tplc="04150019" w:tentative="1">
      <w:start w:val="1"/>
      <w:numFmt w:val="lowerLetter"/>
      <w:lvlText w:val="%8."/>
      <w:lvlJc w:val="left"/>
      <w:pPr>
        <w:ind w:left="7235" w:hanging="360"/>
      </w:pPr>
    </w:lvl>
    <w:lvl w:ilvl="8" w:tplc="0415001B" w:tentative="1">
      <w:start w:val="1"/>
      <w:numFmt w:val="lowerRoman"/>
      <w:lvlText w:val="%9."/>
      <w:lvlJc w:val="right"/>
      <w:pPr>
        <w:ind w:left="7955" w:hanging="180"/>
      </w:pPr>
    </w:lvl>
  </w:abstractNum>
  <w:abstractNum w:abstractNumId="19" w15:restartNumberingAfterBreak="0">
    <w:nsid w:val="5B9A6404"/>
    <w:multiLevelType w:val="hybridMultilevel"/>
    <w:tmpl w:val="F55C90DA"/>
    <w:lvl w:ilvl="0" w:tplc="F3F495C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DBD6EC4"/>
    <w:multiLevelType w:val="hybridMultilevel"/>
    <w:tmpl w:val="49DC13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E4A0943"/>
    <w:multiLevelType w:val="hybridMultilevel"/>
    <w:tmpl w:val="4C8ADE00"/>
    <w:lvl w:ilvl="0" w:tplc="CBD2AF72">
      <w:start w:val="1"/>
      <w:numFmt w:val="decimal"/>
      <w:lvlText w:val="%1."/>
      <w:lvlJc w:val="left"/>
      <w:pPr>
        <w:ind w:left="284" w:hanging="360"/>
      </w:pPr>
      <w:rPr>
        <w:rFonts w:hint="default"/>
      </w:rPr>
    </w:lvl>
    <w:lvl w:ilvl="1" w:tplc="04150019" w:tentative="1">
      <w:start w:val="1"/>
      <w:numFmt w:val="lowerLetter"/>
      <w:lvlText w:val="%2."/>
      <w:lvlJc w:val="left"/>
      <w:pPr>
        <w:ind w:left="1004" w:hanging="360"/>
      </w:pPr>
    </w:lvl>
    <w:lvl w:ilvl="2" w:tplc="0415001B" w:tentative="1">
      <w:start w:val="1"/>
      <w:numFmt w:val="lowerRoman"/>
      <w:lvlText w:val="%3."/>
      <w:lvlJc w:val="right"/>
      <w:pPr>
        <w:ind w:left="1724" w:hanging="180"/>
      </w:pPr>
    </w:lvl>
    <w:lvl w:ilvl="3" w:tplc="0415000F" w:tentative="1">
      <w:start w:val="1"/>
      <w:numFmt w:val="decimal"/>
      <w:lvlText w:val="%4."/>
      <w:lvlJc w:val="left"/>
      <w:pPr>
        <w:ind w:left="2444" w:hanging="360"/>
      </w:pPr>
    </w:lvl>
    <w:lvl w:ilvl="4" w:tplc="04150019" w:tentative="1">
      <w:start w:val="1"/>
      <w:numFmt w:val="lowerLetter"/>
      <w:lvlText w:val="%5."/>
      <w:lvlJc w:val="left"/>
      <w:pPr>
        <w:ind w:left="3164" w:hanging="360"/>
      </w:pPr>
    </w:lvl>
    <w:lvl w:ilvl="5" w:tplc="0415001B" w:tentative="1">
      <w:start w:val="1"/>
      <w:numFmt w:val="lowerRoman"/>
      <w:lvlText w:val="%6."/>
      <w:lvlJc w:val="right"/>
      <w:pPr>
        <w:ind w:left="3884" w:hanging="180"/>
      </w:pPr>
    </w:lvl>
    <w:lvl w:ilvl="6" w:tplc="0415000F" w:tentative="1">
      <w:start w:val="1"/>
      <w:numFmt w:val="decimal"/>
      <w:lvlText w:val="%7."/>
      <w:lvlJc w:val="left"/>
      <w:pPr>
        <w:ind w:left="4604" w:hanging="360"/>
      </w:pPr>
    </w:lvl>
    <w:lvl w:ilvl="7" w:tplc="04150019" w:tentative="1">
      <w:start w:val="1"/>
      <w:numFmt w:val="lowerLetter"/>
      <w:lvlText w:val="%8."/>
      <w:lvlJc w:val="left"/>
      <w:pPr>
        <w:ind w:left="5324" w:hanging="360"/>
      </w:pPr>
    </w:lvl>
    <w:lvl w:ilvl="8" w:tplc="0415001B" w:tentative="1">
      <w:start w:val="1"/>
      <w:numFmt w:val="lowerRoman"/>
      <w:lvlText w:val="%9."/>
      <w:lvlJc w:val="right"/>
      <w:pPr>
        <w:ind w:left="6044" w:hanging="180"/>
      </w:pPr>
    </w:lvl>
  </w:abstractNum>
  <w:abstractNum w:abstractNumId="22" w15:restartNumberingAfterBreak="0">
    <w:nsid w:val="60346AA8"/>
    <w:multiLevelType w:val="hybridMultilevel"/>
    <w:tmpl w:val="B83E99BE"/>
    <w:lvl w:ilvl="0" w:tplc="D2767812">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19840EF"/>
    <w:multiLevelType w:val="hybridMultilevel"/>
    <w:tmpl w:val="C770B12C"/>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4" w15:restartNumberingAfterBreak="0">
    <w:nsid w:val="621D3A08"/>
    <w:multiLevelType w:val="hybridMultilevel"/>
    <w:tmpl w:val="FA7E4D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C4428A7"/>
    <w:multiLevelType w:val="hybridMultilevel"/>
    <w:tmpl w:val="CE761F70"/>
    <w:lvl w:ilvl="0" w:tplc="04150017">
      <w:start w:val="1"/>
      <w:numFmt w:val="lowerLetter"/>
      <w:lvlText w:val="%1)"/>
      <w:lvlJc w:val="left"/>
      <w:pPr>
        <w:ind w:left="360" w:hanging="360"/>
      </w:pPr>
      <w:rPr>
        <w:rFonts w:hint="default"/>
      </w:rPr>
    </w:lvl>
    <w:lvl w:ilvl="1" w:tplc="096A8868">
      <w:start w:val="1"/>
      <w:numFmt w:val="lowerLetter"/>
      <w:lvlText w:val="%2)"/>
      <w:lvlJc w:val="left"/>
      <w:pPr>
        <w:ind w:left="1080" w:hanging="360"/>
      </w:pPr>
      <w:rPr>
        <w:rFonts w:ascii="Times New Roman" w:eastAsia="Calibri" w:hAnsi="Times New Roman" w:cs="Times New Roman"/>
      </w:rPr>
    </w:lvl>
    <w:lvl w:ilvl="2" w:tplc="6A803506">
      <w:start w:val="1"/>
      <w:numFmt w:val="decimal"/>
      <w:lvlText w:val="%3."/>
      <w:lvlJc w:val="left"/>
      <w:pPr>
        <w:ind w:left="36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D146601"/>
    <w:multiLevelType w:val="hybridMultilevel"/>
    <w:tmpl w:val="EE92212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E8D5E1C"/>
    <w:multiLevelType w:val="hybridMultilevel"/>
    <w:tmpl w:val="D3F84DAA"/>
    <w:lvl w:ilvl="0" w:tplc="E1C61368">
      <w:start w:val="1"/>
      <w:numFmt w:val="decimal"/>
      <w:lvlText w:val="%1."/>
      <w:lvlJc w:val="left"/>
      <w:pPr>
        <w:ind w:left="395" w:hanging="360"/>
      </w:pPr>
      <w:rPr>
        <w:rFonts w:hint="default"/>
        <w:strike w:val="0"/>
      </w:rPr>
    </w:lvl>
    <w:lvl w:ilvl="1" w:tplc="544C7D38">
      <w:start w:val="1"/>
      <w:numFmt w:val="decimal"/>
      <w:lvlText w:val="%2)"/>
      <w:lvlJc w:val="left"/>
      <w:pPr>
        <w:ind w:left="1115" w:hanging="360"/>
      </w:pPr>
      <w:rPr>
        <w:rFonts w:ascii="Arial" w:eastAsia="Calibri" w:hAnsi="Arial" w:cs="Arial"/>
      </w:rPr>
    </w:lvl>
    <w:lvl w:ilvl="2" w:tplc="0672A228">
      <w:start w:val="1"/>
      <w:numFmt w:val="lowerLetter"/>
      <w:lvlText w:val="%3)"/>
      <w:lvlJc w:val="left"/>
      <w:pPr>
        <w:ind w:left="1835" w:hanging="180"/>
      </w:pPr>
      <w:rPr>
        <w:i w:val="0"/>
      </w:rPr>
    </w:lvl>
    <w:lvl w:ilvl="3" w:tplc="0415001B">
      <w:start w:val="1"/>
      <w:numFmt w:val="lowerRoman"/>
      <w:lvlText w:val="%4."/>
      <w:lvlJc w:val="right"/>
      <w:pPr>
        <w:ind w:left="4614" w:hanging="360"/>
      </w:pPr>
      <w:rPr>
        <w:rFonts w:hint="default"/>
      </w:rPr>
    </w:lvl>
    <w:lvl w:ilvl="4" w:tplc="04150019" w:tentative="1">
      <w:start w:val="1"/>
      <w:numFmt w:val="lowerLetter"/>
      <w:lvlText w:val="%5."/>
      <w:lvlJc w:val="left"/>
      <w:pPr>
        <w:ind w:left="3275" w:hanging="360"/>
      </w:pPr>
    </w:lvl>
    <w:lvl w:ilvl="5" w:tplc="0415001B" w:tentative="1">
      <w:start w:val="1"/>
      <w:numFmt w:val="lowerRoman"/>
      <w:lvlText w:val="%6."/>
      <w:lvlJc w:val="right"/>
      <w:pPr>
        <w:ind w:left="3995" w:hanging="180"/>
      </w:pPr>
    </w:lvl>
    <w:lvl w:ilvl="6" w:tplc="0415000F" w:tentative="1">
      <w:start w:val="1"/>
      <w:numFmt w:val="decimal"/>
      <w:lvlText w:val="%7."/>
      <w:lvlJc w:val="left"/>
      <w:pPr>
        <w:ind w:left="4715" w:hanging="360"/>
      </w:pPr>
    </w:lvl>
    <w:lvl w:ilvl="7" w:tplc="04150019" w:tentative="1">
      <w:start w:val="1"/>
      <w:numFmt w:val="lowerLetter"/>
      <w:lvlText w:val="%8."/>
      <w:lvlJc w:val="left"/>
      <w:pPr>
        <w:ind w:left="5435" w:hanging="360"/>
      </w:pPr>
    </w:lvl>
    <w:lvl w:ilvl="8" w:tplc="0415001B" w:tentative="1">
      <w:start w:val="1"/>
      <w:numFmt w:val="lowerRoman"/>
      <w:lvlText w:val="%9."/>
      <w:lvlJc w:val="right"/>
      <w:pPr>
        <w:ind w:left="6155" w:hanging="180"/>
      </w:pPr>
    </w:lvl>
  </w:abstractNum>
  <w:abstractNum w:abstractNumId="28" w15:restartNumberingAfterBreak="0">
    <w:nsid w:val="75EA6A66"/>
    <w:multiLevelType w:val="hybridMultilevel"/>
    <w:tmpl w:val="1B88867A"/>
    <w:lvl w:ilvl="0" w:tplc="E19828C4">
      <w:start w:val="1"/>
      <w:numFmt w:val="decimal"/>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E2650FB"/>
    <w:multiLevelType w:val="hybridMultilevel"/>
    <w:tmpl w:val="EB4A2600"/>
    <w:lvl w:ilvl="0" w:tplc="4ADE9A34">
      <w:start w:val="2"/>
      <w:numFmt w:val="decimal"/>
      <w:lvlText w:val="%1."/>
      <w:lvlJc w:val="left"/>
      <w:pPr>
        <w:ind w:left="381"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1" w:tplc="25FEFD4A">
      <w:start w:val="1"/>
      <w:numFmt w:val="lowerLetter"/>
      <w:lvlText w:val="%2"/>
      <w:lvlJc w:val="left"/>
      <w:pPr>
        <w:ind w:left="1102"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2" w:tplc="8222C91A">
      <w:start w:val="1"/>
      <w:numFmt w:val="lowerRoman"/>
      <w:lvlText w:val="%3"/>
      <w:lvlJc w:val="left"/>
      <w:pPr>
        <w:ind w:left="1822"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3" w:tplc="643E1FB6">
      <w:start w:val="1"/>
      <w:numFmt w:val="decimal"/>
      <w:lvlText w:val="%4"/>
      <w:lvlJc w:val="left"/>
      <w:pPr>
        <w:ind w:left="2542"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4" w:tplc="D62C1698">
      <w:start w:val="1"/>
      <w:numFmt w:val="lowerLetter"/>
      <w:lvlText w:val="%5"/>
      <w:lvlJc w:val="left"/>
      <w:pPr>
        <w:ind w:left="3262"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5" w:tplc="19D696D0">
      <w:start w:val="1"/>
      <w:numFmt w:val="lowerRoman"/>
      <w:lvlText w:val="%6"/>
      <w:lvlJc w:val="left"/>
      <w:pPr>
        <w:ind w:left="3982"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6" w:tplc="31D41528">
      <w:start w:val="1"/>
      <w:numFmt w:val="decimal"/>
      <w:lvlText w:val="%7"/>
      <w:lvlJc w:val="left"/>
      <w:pPr>
        <w:ind w:left="4702"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7" w:tplc="15D8828E">
      <w:start w:val="1"/>
      <w:numFmt w:val="lowerLetter"/>
      <w:lvlText w:val="%8"/>
      <w:lvlJc w:val="left"/>
      <w:pPr>
        <w:ind w:left="5422"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8" w:tplc="FEAE106C">
      <w:start w:val="1"/>
      <w:numFmt w:val="lowerRoman"/>
      <w:lvlText w:val="%9"/>
      <w:lvlJc w:val="left"/>
      <w:pPr>
        <w:ind w:left="6142"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abstractNum>
  <w:num w:numId="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
  </w:num>
  <w:num w:numId="5">
    <w:abstractNumId w:val="28"/>
  </w:num>
  <w:num w:numId="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9"/>
  </w:num>
  <w:num w:numId="10">
    <w:abstractNumId w:val="13"/>
  </w:num>
  <w:num w:numId="11">
    <w:abstractNumId w:val="27"/>
  </w:num>
  <w:num w:numId="12">
    <w:abstractNumId w:val="6"/>
  </w:num>
  <w:num w:numId="13">
    <w:abstractNumId w:val="23"/>
  </w:num>
  <w:num w:numId="14">
    <w:abstractNumId w:val="10"/>
  </w:num>
  <w:num w:numId="15">
    <w:abstractNumId w:val="21"/>
  </w:num>
  <w:num w:numId="16">
    <w:abstractNumId w:val="25"/>
  </w:num>
  <w:num w:numId="17">
    <w:abstractNumId w:val="5"/>
  </w:num>
  <w:num w:numId="18">
    <w:abstractNumId w:val="24"/>
  </w:num>
  <w:num w:numId="19">
    <w:abstractNumId w:val="22"/>
  </w:num>
  <w:num w:numId="20">
    <w:abstractNumId w:val="4"/>
  </w:num>
  <w:num w:numId="21">
    <w:abstractNumId w:val="14"/>
  </w:num>
  <w:num w:numId="22">
    <w:abstractNumId w:val="9"/>
  </w:num>
  <w:num w:numId="23">
    <w:abstractNumId w:val="0"/>
  </w:num>
  <w:num w:numId="24">
    <w:abstractNumId w:val="26"/>
  </w:num>
  <w:num w:numId="25">
    <w:abstractNumId w:val="16"/>
  </w:num>
  <w:num w:numId="26">
    <w:abstractNumId w:val="3"/>
  </w:num>
  <w:num w:numId="27">
    <w:abstractNumId w:val="20"/>
  </w:num>
  <w:num w:numId="28">
    <w:abstractNumId w:val="11"/>
  </w:num>
  <w:num w:numId="29">
    <w:abstractNumId w:val="17"/>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83D"/>
    <w:rsid w:val="000124B5"/>
    <w:rsid w:val="000243F2"/>
    <w:rsid w:val="000244D8"/>
    <w:rsid w:val="00037DDE"/>
    <w:rsid w:val="00042211"/>
    <w:rsid w:val="00081E27"/>
    <w:rsid w:val="000B185D"/>
    <w:rsid w:val="000B45B2"/>
    <w:rsid w:val="000C6789"/>
    <w:rsid w:val="000D2E07"/>
    <w:rsid w:val="000F5296"/>
    <w:rsid w:val="000F64AE"/>
    <w:rsid w:val="00124E97"/>
    <w:rsid w:val="00145355"/>
    <w:rsid w:val="001525DD"/>
    <w:rsid w:val="00184F5E"/>
    <w:rsid w:val="001919D1"/>
    <w:rsid w:val="001A2302"/>
    <w:rsid w:val="001A3970"/>
    <w:rsid w:val="001A5ECA"/>
    <w:rsid w:val="001A7725"/>
    <w:rsid w:val="001B731E"/>
    <w:rsid w:val="001C04E7"/>
    <w:rsid w:val="001C29D0"/>
    <w:rsid w:val="001C4A64"/>
    <w:rsid w:val="001D006C"/>
    <w:rsid w:val="001E2ADF"/>
    <w:rsid w:val="001F11C0"/>
    <w:rsid w:val="001F295B"/>
    <w:rsid w:val="001F715E"/>
    <w:rsid w:val="00206DCC"/>
    <w:rsid w:val="00207198"/>
    <w:rsid w:val="002213F5"/>
    <w:rsid w:val="00221719"/>
    <w:rsid w:val="002221F4"/>
    <w:rsid w:val="0023398C"/>
    <w:rsid w:val="00250FE7"/>
    <w:rsid w:val="00255BB6"/>
    <w:rsid w:val="00255F5A"/>
    <w:rsid w:val="00261A9B"/>
    <w:rsid w:val="00263CF9"/>
    <w:rsid w:val="00276CD6"/>
    <w:rsid w:val="00292BC3"/>
    <w:rsid w:val="002948BF"/>
    <w:rsid w:val="002C0E48"/>
    <w:rsid w:val="002D6109"/>
    <w:rsid w:val="002E18FC"/>
    <w:rsid w:val="002F07ED"/>
    <w:rsid w:val="002F37A4"/>
    <w:rsid w:val="00300BF2"/>
    <w:rsid w:val="003018C5"/>
    <w:rsid w:val="0032445E"/>
    <w:rsid w:val="00334F72"/>
    <w:rsid w:val="00337BCB"/>
    <w:rsid w:val="00341439"/>
    <w:rsid w:val="003434FF"/>
    <w:rsid w:val="003447CD"/>
    <w:rsid w:val="003466A9"/>
    <w:rsid w:val="003514AD"/>
    <w:rsid w:val="003606E2"/>
    <w:rsid w:val="00376210"/>
    <w:rsid w:val="00384453"/>
    <w:rsid w:val="003A2BF4"/>
    <w:rsid w:val="003B154C"/>
    <w:rsid w:val="003C494C"/>
    <w:rsid w:val="00406F1C"/>
    <w:rsid w:val="00411604"/>
    <w:rsid w:val="00412D4E"/>
    <w:rsid w:val="00417D9D"/>
    <w:rsid w:val="004341A5"/>
    <w:rsid w:val="00447ED6"/>
    <w:rsid w:val="00461297"/>
    <w:rsid w:val="00484836"/>
    <w:rsid w:val="0048510A"/>
    <w:rsid w:val="004854EC"/>
    <w:rsid w:val="00490846"/>
    <w:rsid w:val="004C5EF5"/>
    <w:rsid w:val="004C7F5A"/>
    <w:rsid w:val="00504206"/>
    <w:rsid w:val="005078FC"/>
    <w:rsid w:val="00512572"/>
    <w:rsid w:val="005375E6"/>
    <w:rsid w:val="005502E4"/>
    <w:rsid w:val="0055575A"/>
    <w:rsid w:val="0056470C"/>
    <w:rsid w:val="005666C2"/>
    <w:rsid w:val="00576FA8"/>
    <w:rsid w:val="0058081B"/>
    <w:rsid w:val="005A0AA4"/>
    <w:rsid w:val="005B574F"/>
    <w:rsid w:val="005D1494"/>
    <w:rsid w:val="005E5DD2"/>
    <w:rsid w:val="005E740B"/>
    <w:rsid w:val="005F0C3B"/>
    <w:rsid w:val="00610F44"/>
    <w:rsid w:val="006111AA"/>
    <w:rsid w:val="00650F5D"/>
    <w:rsid w:val="00653CAE"/>
    <w:rsid w:val="006648C0"/>
    <w:rsid w:val="00671F7C"/>
    <w:rsid w:val="006A5083"/>
    <w:rsid w:val="006A688E"/>
    <w:rsid w:val="006C583D"/>
    <w:rsid w:val="006D180E"/>
    <w:rsid w:val="006E3F0A"/>
    <w:rsid w:val="006E5113"/>
    <w:rsid w:val="006E62B9"/>
    <w:rsid w:val="0071399F"/>
    <w:rsid w:val="00722346"/>
    <w:rsid w:val="00742551"/>
    <w:rsid w:val="00752140"/>
    <w:rsid w:val="0076001F"/>
    <w:rsid w:val="00760CC7"/>
    <w:rsid w:val="007A0EE6"/>
    <w:rsid w:val="007B0E03"/>
    <w:rsid w:val="007D78EE"/>
    <w:rsid w:val="007E404C"/>
    <w:rsid w:val="007F19B5"/>
    <w:rsid w:val="008115B8"/>
    <w:rsid w:val="0082385D"/>
    <w:rsid w:val="0083249B"/>
    <w:rsid w:val="008503AF"/>
    <w:rsid w:val="0085245C"/>
    <w:rsid w:val="008601B4"/>
    <w:rsid w:val="00877198"/>
    <w:rsid w:val="008830BE"/>
    <w:rsid w:val="00887ABE"/>
    <w:rsid w:val="00893174"/>
    <w:rsid w:val="00894429"/>
    <w:rsid w:val="00897363"/>
    <w:rsid w:val="00897AFA"/>
    <w:rsid w:val="008A44A8"/>
    <w:rsid w:val="008A5E18"/>
    <w:rsid w:val="008B7CC1"/>
    <w:rsid w:val="008D07D4"/>
    <w:rsid w:val="008D46F6"/>
    <w:rsid w:val="008F6F83"/>
    <w:rsid w:val="009013A2"/>
    <w:rsid w:val="00967D90"/>
    <w:rsid w:val="00971F0E"/>
    <w:rsid w:val="00977D7B"/>
    <w:rsid w:val="00982FA7"/>
    <w:rsid w:val="0099110E"/>
    <w:rsid w:val="009A19AB"/>
    <w:rsid w:val="009A2B73"/>
    <w:rsid w:val="009C02C2"/>
    <w:rsid w:val="009D4E55"/>
    <w:rsid w:val="009D52DD"/>
    <w:rsid w:val="009F1617"/>
    <w:rsid w:val="009F6712"/>
    <w:rsid w:val="00A01741"/>
    <w:rsid w:val="00A01C58"/>
    <w:rsid w:val="00A13A2F"/>
    <w:rsid w:val="00A2619B"/>
    <w:rsid w:val="00A45EDC"/>
    <w:rsid w:val="00A514A0"/>
    <w:rsid w:val="00A56332"/>
    <w:rsid w:val="00A628CF"/>
    <w:rsid w:val="00A70170"/>
    <w:rsid w:val="00A924CA"/>
    <w:rsid w:val="00A93066"/>
    <w:rsid w:val="00A9681A"/>
    <w:rsid w:val="00AA45F3"/>
    <w:rsid w:val="00AA7061"/>
    <w:rsid w:val="00AB2AFC"/>
    <w:rsid w:val="00AB676E"/>
    <w:rsid w:val="00AC3DD7"/>
    <w:rsid w:val="00AC6B0A"/>
    <w:rsid w:val="00AE29E1"/>
    <w:rsid w:val="00AF03F5"/>
    <w:rsid w:val="00AF623A"/>
    <w:rsid w:val="00B04D44"/>
    <w:rsid w:val="00B11B32"/>
    <w:rsid w:val="00B40500"/>
    <w:rsid w:val="00B52EB3"/>
    <w:rsid w:val="00B568E0"/>
    <w:rsid w:val="00B66EB7"/>
    <w:rsid w:val="00B811D6"/>
    <w:rsid w:val="00B94BB3"/>
    <w:rsid w:val="00BD4151"/>
    <w:rsid w:val="00BE2071"/>
    <w:rsid w:val="00BE7F51"/>
    <w:rsid w:val="00C325E9"/>
    <w:rsid w:val="00C654F6"/>
    <w:rsid w:val="00C71322"/>
    <w:rsid w:val="00CA1AA6"/>
    <w:rsid w:val="00CB4085"/>
    <w:rsid w:val="00CB4656"/>
    <w:rsid w:val="00CC1617"/>
    <w:rsid w:val="00CD42C5"/>
    <w:rsid w:val="00CD578B"/>
    <w:rsid w:val="00CE6B10"/>
    <w:rsid w:val="00D064B8"/>
    <w:rsid w:val="00D13CF1"/>
    <w:rsid w:val="00D22E5D"/>
    <w:rsid w:val="00D90B19"/>
    <w:rsid w:val="00D9194C"/>
    <w:rsid w:val="00D968D1"/>
    <w:rsid w:val="00DE6193"/>
    <w:rsid w:val="00E10B02"/>
    <w:rsid w:val="00E12BB3"/>
    <w:rsid w:val="00E4265E"/>
    <w:rsid w:val="00E453E9"/>
    <w:rsid w:val="00E82603"/>
    <w:rsid w:val="00E86AFF"/>
    <w:rsid w:val="00E96C5C"/>
    <w:rsid w:val="00E97D8E"/>
    <w:rsid w:val="00ED10C9"/>
    <w:rsid w:val="00ED206B"/>
    <w:rsid w:val="00ED3755"/>
    <w:rsid w:val="00ED7FAE"/>
    <w:rsid w:val="00EF1A52"/>
    <w:rsid w:val="00F024A5"/>
    <w:rsid w:val="00F22B3D"/>
    <w:rsid w:val="00F420B8"/>
    <w:rsid w:val="00F47AEB"/>
    <w:rsid w:val="00F66C32"/>
    <w:rsid w:val="00F8155B"/>
    <w:rsid w:val="00F81C93"/>
    <w:rsid w:val="00F86B88"/>
    <w:rsid w:val="00F97C68"/>
    <w:rsid w:val="00FB12CE"/>
    <w:rsid w:val="00FB1622"/>
    <w:rsid w:val="00FC0062"/>
    <w:rsid w:val="00FD2560"/>
    <w:rsid w:val="00FD5A93"/>
    <w:rsid w:val="00FD7C2F"/>
    <w:rsid w:val="00FF7418"/>
    <w:rsid w:val="00FF7E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C47E95"/>
  <w15:chartTrackingRefBased/>
  <w15:docId w15:val="{7ABD2F20-1A47-431B-B61F-9273FF75B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5214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C29D0"/>
    <w:pPr>
      <w:ind w:left="708"/>
    </w:pPr>
  </w:style>
  <w:style w:type="paragraph" w:styleId="Nagwek">
    <w:name w:val="header"/>
    <w:basedOn w:val="Normalny"/>
    <w:link w:val="NagwekZnak"/>
    <w:uiPriority w:val="99"/>
    <w:unhideWhenUsed/>
    <w:rsid w:val="00AB2AFC"/>
    <w:pPr>
      <w:tabs>
        <w:tab w:val="center" w:pos="4536"/>
        <w:tab w:val="right" w:pos="9072"/>
      </w:tabs>
    </w:pPr>
  </w:style>
  <w:style w:type="character" w:customStyle="1" w:styleId="NagwekZnak">
    <w:name w:val="Nagłówek Znak"/>
    <w:basedOn w:val="Domylnaczcionkaakapitu"/>
    <w:link w:val="Nagwek"/>
    <w:uiPriority w:val="99"/>
    <w:rsid w:val="00AB2AFC"/>
  </w:style>
  <w:style w:type="paragraph" w:styleId="Stopka">
    <w:name w:val="footer"/>
    <w:basedOn w:val="Normalny"/>
    <w:link w:val="StopkaZnak"/>
    <w:uiPriority w:val="99"/>
    <w:unhideWhenUsed/>
    <w:rsid w:val="00AB2AFC"/>
    <w:pPr>
      <w:tabs>
        <w:tab w:val="center" w:pos="4536"/>
        <w:tab w:val="right" w:pos="9072"/>
      </w:tabs>
    </w:pPr>
  </w:style>
  <w:style w:type="character" w:customStyle="1" w:styleId="StopkaZnak">
    <w:name w:val="Stopka Znak"/>
    <w:basedOn w:val="Domylnaczcionkaakapitu"/>
    <w:link w:val="Stopka"/>
    <w:uiPriority w:val="99"/>
    <w:rsid w:val="00AB2AFC"/>
  </w:style>
  <w:style w:type="character" w:styleId="Odwoaniedokomentarza">
    <w:name w:val="annotation reference"/>
    <w:uiPriority w:val="99"/>
    <w:semiHidden/>
    <w:unhideWhenUsed/>
    <w:rsid w:val="00CE6B10"/>
    <w:rPr>
      <w:sz w:val="16"/>
      <w:szCs w:val="16"/>
    </w:rPr>
  </w:style>
  <w:style w:type="paragraph" w:styleId="Tekstkomentarza">
    <w:name w:val="annotation text"/>
    <w:basedOn w:val="Normalny"/>
    <w:link w:val="TekstkomentarzaZnak"/>
    <w:uiPriority w:val="99"/>
    <w:semiHidden/>
    <w:unhideWhenUsed/>
    <w:rsid w:val="00CE6B10"/>
  </w:style>
  <w:style w:type="character" w:customStyle="1" w:styleId="TekstkomentarzaZnak">
    <w:name w:val="Tekst komentarza Znak"/>
    <w:basedOn w:val="Domylnaczcionkaakapitu"/>
    <w:link w:val="Tekstkomentarza"/>
    <w:uiPriority w:val="99"/>
    <w:semiHidden/>
    <w:rsid w:val="00CE6B10"/>
  </w:style>
  <w:style w:type="paragraph" w:styleId="Tematkomentarza">
    <w:name w:val="annotation subject"/>
    <w:basedOn w:val="Tekstkomentarza"/>
    <w:next w:val="Tekstkomentarza"/>
    <w:link w:val="TematkomentarzaZnak"/>
    <w:uiPriority w:val="99"/>
    <w:semiHidden/>
    <w:unhideWhenUsed/>
    <w:rsid w:val="00CE6B10"/>
    <w:rPr>
      <w:b/>
      <w:bCs/>
    </w:rPr>
  </w:style>
  <w:style w:type="character" w:customStyle="1" w:styleId="TematkomentarzaZnak">
    <w:name w:val="Temat komentarza Znak"/>
    <w:link w:val="Tematkomentarza"/>
    <w:uiPriority w:val="99"/>
    <w:semiHidden/>
    <w:rsid w:val="00CE6B10"/>
    <w:rPr>
      <w:b/>
      <w:bCs/>
    </w:rPr>
  </w:style>
  <w:style w:type="paragraph" w:styleId="Tekstdymka">
    <w:name w:val="Balloon Text"/>
    <w:basedOn w:val="Normalny"/>
    <w:link w:val="TekstdymkaZnak"/>
    <w:uiPriority w:val="99"/>
    <w:semiHidden/>
    <w:unhideWhenUsed/>
    <w:rsid w:val="00CE6B10"/>
    <w:rPr>
      <w:rFonts w:ascii="Segoe UI" w:hAnsi="Segoe UI" w:cs="Segoe UI"/>
      <w:sz w:val="18"/>
      <w:szCs w:val="18"/>
    </w:rPr>
  </w:style>
  <w:style w:type="character" w:customStyle="1" w:styleId="TekstdymkaZnak">
    <w:name w:val="Tekst dymka Znak"/>
    <w:link w:val="Tekstdymka"/>
    <w:uiPriority w:val="99"/>
    <w:semiHidden/>
    <w:rsid w:val="00CE6B10"/>
    <w:rPr>
      <w:rFonts w:ascii="Segoe UI" w:hAnsi="Segoe UI" w:cs="Segoe UI"/>
      <w:sz w:val="18"/>
      <w:szCs w:val="18"/>
    </w:rPr>
  </w:style>
  <w:style w:type="character" w:styleId="Hipercze">
    <w:name w:val="Hyperlink"/>
    <w:basedOn w:val="Domylnaczcionkaakapitu"/>
    <w:uiPriority w:val="99"/>
    <w:semiHidden/>
    <w:unhideWhenUsed/>
    <w:rsid w:val="005D1494"/>
    <w:rPr>
      <w:color w:val="0000FF"/>
      <w:u w:val="single"/>
    </w:rPr>
  </w:style>
  <w:style w:type="paragraph" w:customStyle="1" w:styleId="Podstawowy">
    <w:name w:val="Podstawowy"/>
    <w:basedOn w:val="Normalny"/>
    <w:link w:val="PodstawowyChar"/>
    <w:qFormat/>
    <w:rsid w:val="000F64AE"/>
    <w:pPr>
      <w:spacing w:after="200" w:line="276" w:lineRule="auto"/>
      <w:jc w:val="both"/>
    </w:pPr>
    <w:rPr>
      <w:rFonts w:ascii="Calibri Light" w:eastAsiaTheme="minorHAnsi" w:hAnsi="Calibri Light" w:cs="Calibri Light"/>
      <w:sz w:val="22"/>
      <w:szCs w:val="22"/>
    </w:rPr>
  </w:style>
  <w:style w:type="character" w:customStyle="1" w:styleId="PodstawowyChar">
    <w:name w:val="Podstawowy Char"/>
    <w:basedOn w:val="Domylnaczcionkaakapitu"/>
    <w:link w:val="Podstawowy"/>
    <w:rsid w:val="000F64AE"/>
    <w:rPr>
      <w:rFonts w:ascii="Calibri Light" w:eastAsiaTheme="minorHAnsi" w:hAnsi="Calibri Light" w:cs="Calibri Ligh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54658">
      <w:bodyDiv w:val="1"/>
      <w:marLeft w:val="0"/>
      <w:marRight w:val="0"/>
      <w:marTop w:val="0"/>
      <w:marBottom w:val="0"/>
      <w:divBdr>
        <w:top w:val="none" w:sz="0" w:space="0" w:color="auto"/>
        <w:left w:val="none" w:sz="0" w:space="0" w:color="auto"/>
        <w:bottom w:val="none" w:sz="0" w:space="0" w:color="auto"/>
        <w:right w:val="none" w:sz="0" w:space="0" w:color="auto"/>
      </w:divBdr>
    </w:div>
    <w:div w:id="291520097">
      <w:bodyDiv w:val="1"/>
      <w:marLeft w:val="0"/>
      <w:marRight w:val="0"/>
      <w:marTop w:val="0"/>
      <w:marBottom w:val="0"/>
      <w:divBdr>
        <w:top w:val="none" w:sz="0" w:space="0" w:color="auto"/>
        <w:left w:val="none" w:sz="0" w:space="0" w:color="auto"/>
        <w:bottom w:val="none" w:sz="0" w:space="0" w:color="auto"/>
        <w:right w:val="none" w:sz="0" w:space="0" w:color="auto"/>
      </w:divBdr>
    </w:div>
    <w:div w:id="1713194527">
      <w:bodyDiv w:val="1"/>
      <w:marLeft w:val="0"/>
      <w:marRight w:val="0"/>
      <w:marTop w:val="0"/>
      <w:marBottom w:val="0"/>
      <w:divBdr>
        <w:top w:val="none" w:sz="0" w:space="0" w:color="auto"/>
        <w:left w:val="none" w:sz="0" w:space="0" w:color="auto"/>
        <w:bottom w:val="none" w:sz="0" w:space="0" w:color="auto"/>
        <w:right w:val="none" w:sz="0" w:space="0" w:color="auto"/>
      </w:divBdr>
    </w:div>
    <w:div w:id="1834367673">
      <w:bodyDiv w:val="1"/>
      <w:marLeft w:val="0"/>
      <w:marRight w:val="0"/>
      <w:marTop w:val="0"/>
      <w:marBottom w:val="0"/>
      <w:divBdr>
        <w:top w:val="none" w:sz="0" w:space="0" w:color="auto"/>
        <w:left w:val="none" w:sz="0" w:space="0" w:color="auto"/>
        <w:bottom w:val="none" w:sz="0" w:space="0" w:color="auto"/>
        <w:right w:val="none" w:sz="0" w:space="0" w:color="auto"/>
      </w:divBdr>
    </w:div>
    <w:div w:id="194611107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galis.pl/document-view.seam?documentId=mfrxilrtg4ytmmrqg4ydeltqmfyc4njygu3tgmzvg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2809</Words>
  <Characters>16855</Characters>
  <Application>Microsoft Office Word</Application>
  <DocSecurity>0</DocSecurity>
  <Lines>140</Lines>
  <Paragraphs>39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Wojcieszek</dc:creator>
  <cp:keywords/>
  <cp:lastModifiedBy>Urszula Dobija</cp:lastModifiedBy>
  <cp:revision>2</cp:revision>
  <cp:lastPrinted>2019-07-04T07:14:00Z</cp:lastPrinted>
  <dcterms:created xsi:type="dcterms:W3CDTF">2021-09-29T09:14:00Z</dcterms:created>
  <dcterms:modified xsi:type="dcterms:W3CDTF">2021-09-29T09:14:00Z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2021-08-25T10:00:15Z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b621e607-5b94-4197-9fdc-2d12541542e8</vt:lpwstr>
  </property>
  <property fmtid="{D5CDD505-2E9C-101B-9397-08002B2CF9AE}" pid="8" name="MSIP_Label_ea60d57e-af5b-4752-ac57-3e4f28ca11dc_ContentBits">
    <vt:lpwstr>0</vt:lpwstr>
  </property>
</Properties>
</file>